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C15" w:rsidRDefault="006F3C15" w:rsidP="004848B5">
      <w:pPr>
        <w:pStyle w:val="BodyText"/>
      </w:pPr>
      <w:r>
        <w:t xml:space="preserve">Since 2015, the House Committee on Oversight and Government Reform (OGR) has held a series of biannual hearings on agencies implementation of IT legislation. </w:t>
      </w:r>
      <w:r w:rsidRPr="006F3C15">
        <w:t xml:space="preserve">The </w:t>
      </w:r>
      <w:r w:rsidR="003F04D7" w:rsidRPr="003F04D7">
        <w:t xml:space="preserve">seventh </w:t>
      </w:r>
      <w:r w:rsidRPr="006F3C15">
        <w:t>iteration of OGR’s IT scorecard grade</w:t>
      </w:r>
      <w:r>
        <w:t>s</w:t>
      </w:r>
      <w:r w:rsidRPr="006F3C15">
        <w:t xml:space="preserve"> agencies implementation of</w:t>
      </w:r>
      <w:r>
        <w:t xml:space="preserve"> the:</w:t>
      </w:r>
    </w:p>
    <w:p w:rsidR="006F3C15" w:rsidRDefault="006F3C15" w:rsidP="006F3C15">
      <w:pPr>
        <w:pStyle w:val="BodyText"/>
        <w:numPr>
          <w:ilvl w:val="0"/>
          <w:numId w:val="11"/>
        </w:numPr>
        <w:spacing w:after="0" w:line="240" w:lineRule="auto"/>
      </w:pPr>
      <w:r w:rsidRPr="006F3C15">
        <w:t>Federal Information Technology Acquisition R</w:t>
      </w:r>
      <w:r>
        <w:t>eform provisions (FITARA) ,</w:t>
      </w:r>
      <w:r w:rsidRPr="006F3C15">
        <w:rPr>
          <w:rStyle w:val="FootnoteReference"/>
        </w:rPr>
        <w:t xml:space="preserve"> </w:t>
      </w:r>
      <w:r w:rsidRPr="008B2287">
        <w:rPr>
          <w:rStyle w:val="FootnoteReference"/>
        </w:rPr>
        <w:footnoteReference w:id="1"/>
      </w:r>
    </w:p>
    <w:p w:rsidR="006F3C15" w:rsidRDefault="006F3C15" w:rsidP="006F3C15">
      <w:pPr>
        <w:pStyle w:val="BodyText"/>
        <w:numPr>
          <w:ilvl w:val="0"/>
          <w:numId w:val="11"/>
        </w:numPr>
        <w:spacing w:after="0" w:line="240" w:lineRule="auto"/>
      </w:pPr>
      <w:r w:rsidRPr="006F3C15">
        <w:t>Making Electronic Government Accountable By Yielding Tangible Efficiencies Act of 2016 (</w:t>
      </w:r>
      <w:r>
        <w:t>MEGABYTE),</w:t>
      </w:r>
      <w:r w:rsidRPr="006F3C15">
        <w:rPr>
          <w:rStyle w:val="FootnoteReference"/>
        </w:rPr>
        <w:t xml:space="preserve"> </w:t>
      </w:r>
      <w:r>
        <w:rPr>
          <w:rStyle w:val="FootnoteReference"/>
        </w:rPr>
        <w:footnoteReference w:id="2"/>
      </w:r>
    </w:p>
    <w:p w:rsidR="006F3C15" w:rsidRDefault="006F3C15" w:rsidP="006F3C15">
      <w:pPr>
        <w:pStyle w:val="BodyText"/>
        <w:numPr>
          <w:ilvl w:val="0"/>
          <w:numId w:val="11"/>
        </w:numPr>
        <w:spacing w:after="0" w:line="240" w:lineRule="auto"/>
      </w:pPr>
      <w:r w:rsidRPr="006F3C15">
        <w:t>Modernizing Government Technology (MGT) act</w:t>
      </w:r>
      <w:r>
        <w:t xml:space="preserve"> (</w:t>
      </w:r>
      <w:r w:rsidR="00A72B54">
        <w:t>NEW</w:t>
      </w:r>
      <w:r>
        <w:t xml:space="preserve"> AREA),</w:t>
      </w:r>
      <w:r w:rsidRPr="006F3C15">
        <w:rPr>
          <w:rStyle w:val="FootnoteReference"/>
        </w:rPr>
        <w:t xml:space="preserve"> </w:t>
      </w:r>
      <w:r>
        <w:rPr>
          <w:rStyle w:val="FootnoteReference"/>
        </w:rPr>
        <w:footnoteReference w:id="3"/>
      </w:r>
    </w:p>
    <w:p w:rsidR="006F3C15" w:rsidRDefault="006F3C15" w:rsidP="006F3C15">
      <w:pPr>
        <w:pStyle w:val="BodyText"/>
        <w:numPr>
          <w:ilvl w:val="0"/>
          <w:numId w:val="11"/>
        </w:numPr>
        <w:spacing w:line="240" w:lineRule="auto"/>
      </w:pPr>
      <w:proofErr w:type="gramStart"/>
      <w:r w:rsidRPr="006F3C15">
        <w:t>and</w:t>
      </w:r>
      <w:proofErr w:type="gramEnd"/>
      <w:r w:rsidRPr="006F3C15">
        <w:t xml:space="preserve"> Federal Information Security Modernization Act of 2014 (FISMA)</w:t>
      </w:r>
      <w:r>
        <w:t xml:space="preserve"> (PREVIEW</w:t>
      </w:r>
      <w:r w:rsidR="00A72B54">
        <w:t>ED</w:t>
      </w:r>
      <w:r>
        <w:t xml:space="preserve"> AREA)</w:t>
      </w:r>
      <w:r w:rsidRPr="006F3C15">
        <w:t>.</w:t>
      </w:r>
      <w:r w:rsidRPr="006F3C15">
        <w:rPr>
          <w:rStyle w:val="FootnoteReference"/>
        </w:rPr>
        <w:t xml:space="preserve"> </w:t>
      </w:r>
      <w:r>
        <w:rPr>
          <w:rStyle w:val="FootnoteReference"/>
        </w:rPr>
        <w:footnoteReference w:id="4"/>
      </w:r>
    </w:p>
    <w:p w:rsidR="00157867" w:rsidRDefault="00157867" w:rsidP="00931718">
      <w:pPr>
        <w:pStyle w:val="BodyText"/>
      </w:pPr>
      <w:r w:rsidRPr="00157867">
        <w:t xml:space="preserve">A total of 7 related areas are graded, </w:t>
      </w:r>
      <w:r w:rsidRPr="008859B8">
        <w:t>6 of which were combined t</w:t>
      </w:r>
      <w:bookmarkStart w:id="0" w:name="_GoBack"/>
      <w:bookmarkEnd w:id="0"/>
      <w:r w:rsidRPr="00157867">
        <w:t>o yield an overall A through F grade. The seventh area, FISMA, was previewed and not included in the overall score. In addition, this scorecard lowers the overall grade of agencies whose CIO doesn’t report appropriately, which is also reflected in the suffix (“+” or “-”) after an agency’s grade.</w:t>
      </w:r>
    </w:p>
    <w:p w:rsidR="004848B5" w:rsidRDefault="00A72B54" w:rsidP="00931718">
      <w:pPr>
        <w:pStyle w:val="BodyText"/>
      </w:pPr>
      <w:r>
        <w:t xml:space="preserve">Historically, </w:t>
      </w:r>
      <w:r w:rsidR="002A782A" w:rsidRPr="00B9322E">
        <w:t xml:space="preserve">the </w:t>
      </w:r>
      <w:r w:rsidR="001C287E">
        <w:t>Department of Health and Human Services</w:t>
      </w:r>
      <w:r w:rsidR="0055021E">
        <w:t xml:space="preserve"> </w:t>
      </w:r>
      <w:r w:rsidR="002A782A" w:rsidRPr="00B9322E">
        <w:t>(</w:t>
      </w:r>
      <w:r w:rsidR="001C287E">
        <w:t>HHS</w:t>
      </w:r>
      <w:r w:rsidR="002A782A" w:rsidRPr="00B9322E">
        <w:t xml:space="preserve">) received </w:t>
      </w:r>
      <w:r w:rsidR="001C287E">
        <w:t>5</w:t>
      </w:r>
      <w:r w:rsidR="0055021E">
        <w:t xml:space="preserve"> “D” grade</w:t>
      </w:r>
      <w:r w:rsidR="001C287E">
        <w:t>s</w:t>
      </w:r>
      <w:r w:rsidR="0055021E">
        <w:t xml:space="preserve"> </w:t>
      </w:r>
      <w:r w:rsidR="001C287E">
        <w:t>and 1</w:t>
      </w:r>
      <w:r w:rsidRPr="003C06A5">
        <w:t xml:space="preserve"> </w:t>
      </w:r>
      <w:r w:rsidR="0081203A" w:rsidRPr="003C06A5">
        <w:t>“</w:t>
      </w:r>
      <w:r w:rsidR="00C84AD0" w:rsidRPr="003C06A5">
        <w:t>C</w:t>
      </w:r>
      <w:r w:rsidR="0081203A" w:rsidRPr="003C06A5">
        <w:t xml:space="preserve">” </w:t>
      </w:r>
      <w:r w:rsidR="001C287E">
        <w:t>grade</w:t>
      </w:r>
      <w:r w:rsidR="002A782A" w:rsidRPr="003C06A5">
        <w:t>. Its most recent performance</w:t>
      </w:r>
      <w:r w:rsidR="00C84AD0" w:rsidRPr="003C06A5">
        <w:t>,</w:t>
      </w:r>
      <w:r w:rsidR="002A782A" w:rsidRPr="003C06A5">
        <w:t xml:space="preserve"> </w:t>
      </w:r>
      <w:r w:rsidR="001C287E">
        <w:t>a</w:t>
      </w:r>
      <w:r w:rsidR="00400160" w:rsidRPr="003C06A5">
        <w:t xml:space="preserve"> “</w:t>
      </w:r>
      <w:r w:rsidR="001C287E">
        <w:t>B</w:t>
      </w:r>
      <w:r w:rsidR="00C84AD0" w:rsidRPr="003C06A5">
        <w:t>,</w:t>
      </w:r>
      <w:r w:rsidR="00400160" w:rsidRPr="003C06A5">
        <w:t>”</w:t>
      </w:r>
      <w:r w:rsidR="00C84AD0" w:rsidRPr="003C06A5">
        <w:t xml:space="preserve"> </w:t>
      </w:r>
      <w:r w:rsidR="002A782A" w:rsidRPr="003C06A5">
        <w:t>was graded as follows.</w:t>
      </w:r>
      <w:r w:rsidR="002A782A">
        <w:t xml:space="preserve"> </w:t>
      </w:r>
    </w:p>
    <w:tbl>
      <w:tblPr>
        <w:tblW w:w="5000" w:type="pct"/>
        <w:tblLayout w:type="fixed"/>
        <w:tblLook w:val="04A0" w:firstRow="1" w:lastRow="0" w:firstColumn="1" w:lastColumn="0" w:noHBand="0" w:noVBand="1"/>
      </w:tblPr>
      <w:tblGrid>
        <w:gridCol w:w="738"/>
        <w:gridCol w:w="1346"/>
        <w:gridCol w:w="1355"/>
        <w:gridCol w:w="992"/>
        <w:gridCol w:w="898"/>
        <w:gridCol w:w="1170"/>
        <w:gridCol w:w="990"/>
        <w:gridCol w:w="719"/>
        <w:gridCol w:w="721"/>
        <w:gridCol w:w="270"/>
        <w:gridCol w:w="737"/>
      </w:tblGrid>
      <w:tr w:rsidR="00400160" w:rsidRPr="00400160" w:rsidTr="00982A92">
        <w:trPr>
          <w:trHeight w:val="675"/>
        </w:trPr>
        <w:tc>
          <w:tcPr>
            <w:tcW w:w="371" w:type="pct"/>
            <w:tcBorders>
              <w:top w:val="nil"/>
              <w:left w:val="nil"/>
              <w:bottom w:val="single" w:sz="8" w:space="0" w:color="auto"/>
              <w:right w:val="nil"/>
            </w:tcBorders>
            <w:shd w:val="clear" w:color="auto" w:fill="auto"/>
            <w:vAlign w:val="bottom"/>
            <w:hideMark/>
          </w:tcPr>
          <w:p w:rsidR="002A714F" w:rsidRPr="00400160" w:rsidRDefault="002A714F" w:rsidP="002153FF">
            <w:pPr>
              <w:spacing w:after="0" w:line="240" w:lineRule="auto"/>
              <w:rPr>
                <w:rFonts w:ascii="Calibri" w:eastAsia="Times New Roman" w:hAnsi="Calibri" w:cs="Times New Roman"/>
                <w:b/>
                <w:bCs/>
                <w:sz w:val="20"/>
                <w:szCs w:val="20"/>
              </w:rPr>
            </w:pPr>
            <w:r w:rsidRPr="00400160">
              <w:rPr>
                <w:rFonts w:ascii="Calibri" w:eastAsia="Times New Roman" w:hAnsi="Calibri" w:cs="Times New Roman"/>
                <w:b/>
                <w:bCs/>
                <w:sz w:val="20"/>
                <w:szCs w:val="20"/>
              </w:rPr>
              <w:t>Areas</w:t>
            </w:r>
          </w:p>
        </w:tc>
        <w:tc>
          <w:tcPr>
            <w:tcW w:w="677" w:type="pct"/>
            <w:tcBorders>
              <w:top w:val="nil"/>
              <w:left w:val="nil"/>
              <w:bottom w:val="single" w:sz="8" w:space="0" w:color="auto"/>
              <w:right w:val="nil"/>
            </w:tcBorders>
            <w:vAlign w:val="bottom"/>
          </w:tcPr>
          <w:p w:rsidR="002A714F" w:rsidRPr="00400160" w:rsidRDefault="002A714F" w:rsidP="006771E7">
            <w:pPr>
              <w:spacing w:after="0" w:line="240" w:lineRule="auto"/>
              <w:jc w:val="center"/>
              <w:rPr>
                <w:rFonts w:ascii="Calibri" w:eastAsia="Times New Roman" w:hAnsi="Calibri" w:cs="Times New Roman"/>
                <w:b/>
                <w:sz w:val="20"/>
                <w:szCs w:val="20"/>
              </w:rPr>
            </w:pPr>
            <w:r w:rsidRPr="00400160">
              <w:rPr>
                <w:rFonts w:ascii="Calibri" w:eastAsia="Times New Roman" w:hAnsi="Calibri" w:cs="Times New Roman"/>
                <w:b/>
                <w:sz w:val="20"/>
                <w:szCs w:val="20"/>
              </w:rPr>
              <w:t>Incremental Development</w:t>
            </w:r>
          </w:p>
        </w:tc>
        <w:tc>
          <w:tcPr>
            <w:tcW w:w="682" w:type="pct"/>
            <w:tcBorders>
              <w:top w:val="nil"/>
              <w:left w:val="nil"/>
              <w:bottom w:val="single" w:sz="8" w:space="0" w:color="auto"/>
              <w:right w:val="nil"/>
            </w:tcBorders>
            <w:vAlign w:val="bottom"/>
          </w:tcPr>
          <w:p w:rsidR="002A714F" w:rsidRPr="00400160" w:rsidRDefault="002A714F" w:rsidP="002A714F">
            <w:pPr>
              <w:spacing w:after="0" w:line="240" w:lineRule="auto"/>
              <w:jc w:val="center"/>
              <w:rPr>
                <w:rFonts w:ascii="Calibri" w:eastAsia="Times New Roman" w:hAnsi="Calibri" w:cs="Times New Roman"/>
                <w:b/>
                <w:sz w:val="20"/>
                <w:szCs w:val="20"/>
              </w:rPr>
            </w:pPr>
            <w:r w:rsidRPr="00400160">
              <w:rPr>
                <w:rFonts w:ascii="Calibri" w:eastAsia="Times New Roman" w:hAnsi="Calibri" w:cs="Times New Roman"/>
                <w:b/>
                <w:sz w:val="20"/>
                <w:szCs w:val="20"/>
              </w:rPr>
              <w:t>Risk Transparency</w:t>
            </w:r>
          </w:p>
        </w:tc>
        <w:tc>
          <w:tcPr>
            <w:tcW w:w="499" w:type="pct"/>
            <w:tcBorders>
              <w:top w:val="nil"/>
              <w:left w:val="nil"/>
              <w:bottom w:val="single" w:sz="8" w:space="0" w:color="auto"/>
              <w:right w:val="nil"/>
            </w:tcBorders>
            <w:vAlign w:val="bottom"/>
          </w:tcPr>
          <w:p w:rsidR="002A714F" w:rsidRPr="00400160" w:rsidRDefault="002A714F" w:rsidP="006771E7">
            <w:pPr>
              <w:spacing w:after="0" w:line="240" w:lineRule="auto"/>
              <w:jc w:val="center"/>
              <w:rPr>
                <w:rFonts w:ascii="Calibri" w:eastAsia="Times New Roman" w:hAnsi="Calibri" w:cs="Times New Roman"/>
                <w:b/>
                <w:sz w:val="20"/>
                <w:szCs w:val="20"/>
              </w:rPr>
            </w:pPr>
            <w:r w:rsidRPr="00400160">
              <w:rPr>
                <w:rFonts w:ascii="Calibri" w:eastAsia="Times New Roman" w:hAnsi="Calibri" w:cs="Times New Roman"/>
                <w:b/>
                <w:sz w:val="20"/>
                <w:szCs w:val="20"/>
              </w:rPr>
              <w:t>Portfolio Review Savings</w:t>
            </w:r>
          </w:p>
        </w:tc>
        <w:tc>
          <w:tcPr>
            <w:tcW w:w="452" w:type="pct"/>
            <w:tcBorders>
              <w:top w:val="nil"/>
              <w:left w:val="nil"/>
              <w:bottom w:val="single" w:sz="8" w:space="0" w:color="auto"/>
              <w:right w:val="nil"/>
            </w:tcBorders>
            <w:shd w:val="clear" w:color="auto" w:fill="auto"/>
            <w:vAlign w:val="bottom"/>
            <w:hideMark/>
          </w:tcPr>
          <w:p w:rsidR="002A714F" w:rsidRPr="00400160" w:rsidRDefault="002A714F" w:rsidP="002A714F">
            <w:pPr>
              <w:spacing w:after="0" w:line="240" w:lineRule="auto"/>
              <w:jc w:val="center"/>
              <w:rPr>
                <w:rFonts w:ascii="Calibri" w:eastAsia="Times New Roman" w:hAnsi="Calibri" w:cs="Times New Roman"/>
                <w:b/>
                <w:sz w:val="20"/>
                <w:szCs w:val="20"/>
              </w:rPr>
            </w:pPr>
            <w:r w:rsidRPr="00400160">
              <w:rPr>
                <w:rFonts w:ascii="Calibri" w:eastAsia="Times New Roman" w:hAnsi="Calibri" w:cs="Times New Roman"/>
                <w:b/>
                <w:sz w:val="20"/>
                <w:szCs w:val="20"/>
              </w:rPr>
              <w:t>Data Centers</w:t>
            </w:r>
          </w:p>
        </w:tc>
        <w:tc>
          <w:tcPr>
            <w:tcW w:w="589" w:type="pct"/>
            <w:tcBorders>
              <w:top w:val="nil"/>
              <w:left w:val="nil"/>
              <w:bottom w:val="single" w:sz="4" w:space="0" w:color="auto"/>
              <w:right w:val="nil"/>
            </w:tcBorders>
            <w:vAlign w:val="bottom"/>
          </w:tcPr>
          <w:p w:rsidR="002A714F" w:rsidRPr="00400160" w:rsidRDefault="002A714F" w:rsidP="002A714F">
            <w:pPr>
              <w:spacing w:after="0" w:line="240" w:lineRule="auto"/>
              <w:jc w:val="center"/>
              <w:rPr>
                <w:rFonts w:ascii="Calibri" w:eastAsia="Times New Roman" w:hAnsi="Calibri" w:cs="Times New Roman"/>
                <w:b/>
                <w:sz w:val="20"/>
                <w:szCs w:val="20"/>
              </w:rPr>
            </w:pPr>
            <w:r w:rsidRPr="00400160">
              <w:rPr>
                <w:rFonts w:ascii="Calibri" w:eastAsia="Times New Roman" w:hAnsi="Calibri" w:cs="Times New Roman"/>
                <w:b/>
                <w:sz w:val="20"/>
                <w:szCs w:val="20"/>
              </w:rPr>
              <w:t>Software Licenses</w:t>
            </w:r>
          </w:p>
        </w:tc>
        <w:tc>
          <w:tcPr>
            <w:tcW w:w="498" w:type="pct"/>
            <w:tcBorders>
              <w:top w:val="nil"/>
              <w:left w:val="nil"/>
              <w:bottom w:val="single" w:sz="4" w:space="0" w:color="auto"/>
              <w:right w:val="nil"/>
            </w:tcBorders>
            <w:vAlign w:val="bottom"/>
          </w:tcPr>
          <w:p w:rsidR="002A714F" w:rsidRPr="00400160" w:rsidRDefault="002A714F" w:rsidP="002A714F">
            <w:pPr>
              <w:spacing w:after="0" w:line="240" w:lineRule="auto"/>
              <w:jc w:val="center"/>
              <w:rPr>
                <w:rFonts w:ascii="Calibri" w:eastAsia="Times New Roman" w:hAnsi="Calibri" w:cs="Times New Roman"/>
                <w:b/>
                <w:sz w:val="20"/>
                <w:szCs w:val="20"/>
              </w:rPr>
            </w:pPr>
            <w:r w:rsidRPr="00400160">
              <w:rPr>
                <w:rFonts w:ascii="Calibri" w:eastAsia="Times New Roman" w:hAnsi="Calibri" w:cs="Times New Roman"/>
                <w:b/>
                <w:sz w:val="20"/>
                <w:szCs w:val="20"/>
              </w:rPr>
              <w:t>Working Capital Funds</w:t>
            </w:r>
          </w:p>
        </w:tc>
        <w:tc>
          <w:tcPr>
            <w:tcW w:w="362" w:type="pct"/>
            <w:tcBorders>
              <w:top w:val="nil"/>
              <w:left w:val="nil"/>
              <w:bottom w:val="single" w:sz="4" w:space="0" w:color="auto"/>
              <w:right w:val="nil"/>
            </w:tcBorders>
            <w:vAlign w:val="bottom"/>
          </w:tcPr>
          <w:p w:rsidR="002A714F" w:rsidRPr="00400160" w:rsidRDefault="002A714F" w:rsidP="002A714F">
            <w:pPr>
              <w:spacing w:after="0" w:line="240" w:lineRule="auto"/>
              <w:jc w:val="center"/>
              <w:rPr>
                <w:rFonts w:ascii="Calibri" w:eastAsia="Times New Roman" w:hAnsi="Calibri" w:cs="Times New Roman"/>
                <w:b/>
                <w:sz w:val="20"/>
                <w:szCs w:val="20"/>
              </w:rPr>
            </w:pPr>
            <w:r w:rsidRPr="00400160">
              <w:rPr>
                <w:rFonts w:ascii="Calibri" w:eastAsia="Times New Roman" w:hAnsi="Calibri" w:cs="Times New Roman"/>
                <w:b/>
                <w:sz w:val="20"/>
                <w:szCs w:val="20"/>
              </w:rPr>
              <w:t>Cyber</w:t>
            </w:r>
          </w:p>
        </w:tc>
        <w:tc>
          <w:tcPr>
            <w:tcW w:w="363" w:type="pct"/>
            <w:tcBorders>
              <w:top w:val="nil"/>
              <w:left w:val="nil"/>
              <w:bottom w:val="single" w:sz="4" w:space="0" w:color="auto"/>
              <w:right w:val="nil"/>
            </w:tcBorders>
            <w:vAlign w:val="bottom"/>
          </w:tcPr>
          <w:p w:rsidR="002A714F" w:rsidRPr="00400160" w:rsidRDefault="002A714F" w:rsidP="002A714F">
            <w:pPr>
              <w:spacing w:after="0" w:line="240" w:lineRule="auto"/>
              <w:jc w:val="center"/>
              <w:rPr>
                <w:rFonts w:ascii="Calibri" w:eastAsia="Times New Roman" w:hAnsi="Calibri" w:cs="Times New Roman"/>
                <w:b/>
                <w:sz w:val="20"/>
                <w:szCs w:val="20"/>
              </w:rPr>
            </w:pPr>
            <w:r w:rsidRPr="00400160">
              <w:rPr>
                <w:rFonts w:ascii="Calibri" w:eastAsia="Times New Roman" w:hAnsi="Calibri" w:cs="Times New Roman"/>
                <w:b/>
                <w:sz w:val="20"/>
                <w:szCs w:val="20"/>
              </w:rPr>
              <w:t>CIO’s Boss</w:t>
            </w:r>
          </w:p>
        </w:tc>
        <w:tc>
          <w:tcPr>
            <w:tcW w:w="136" w:type="pct"/>
            <w:tcBorders>
              <w:top w:val="nil"/>
              <w:left w:val="nil"/>
              <w:right w:val="nil"/>
            </w:tcBorders>
            <w:tcMar>
              <w:left w:w="14" w:type="dxa"/>
              <w:right w:w="14" w:type="dxa"/>
            </w:tcMar>
          </w:tcPr>
          <w:p w:rsidR="002A714F" w:rsidRPr="00400160" w:rsidRDefault="002A714F" w:rsidP="006771E7">
            <w:pPr>
              <w:spacing w:after="0" w:line="240" w:lineRule="auto"/>
              <w:jc w:val="center"/>
              <w:rPr>
                <w:rFonts w:ascii="Calibri" w:eastAsia="Times New Roman" w:hAnsi="Calibri" w:cs="Times New Roman"/>
                <w:b/>
                <w:sz w:val="20"/>
                <w:szCs w:val="20"/>
              </w:rPr>
            </w:pPr>
          </w:p>
        </w:tc>
        <w:tc>
          <w:tcPr>
            <w:tcW w:w="371" w:type="pct"/>
            <w:tcBorders>
              <w:top w:val="nil"/>
              <w:left w:val="nil"/>
              <w:bottom w:val="single" w:sz="8" w:space="0" w:color="auto"/>
              <w:right w:val="nil"/>
            </w:tcBorders>
            <w:vAlign w:val="bottom"/>
          </w:tcPr>
          <w:p w:rsidR="002A714F" w:rsidRPr="00400160" w:rsidRDefault="002A714F" w:rsidP="006771E7">
            <w:pPr>
              <w:spacing w:after="0" w:line="240" w:lineRule="auto"/>
              <w:jc w:val="center"/>
              <w:rPr>
                <w:rFonts w:ascii="Calibri" w:eastAsia="Times New Roman" w:hAnsi="Calibri" w:cs="Times New Roman"/>
                <w:b/>
                <w:sz w:val="20"/>
                <w:szCs w:val="20"/>
              </w:rPr>
            </w:pPr>
            <w:r w:rsidRPr="00400160">
              <w:rPr>
                <w:rFonts w:ascii="Calibri" w:eastAsia="Times New Roman" w:hAnsi="Calibri" w:cs="Times New Roman"/>
                <w:b/>
                <w:sz w:val="20"/>
                <w:szCs w:val="20"/>
              </w:rPr>
              <w:t>Grade</w:t>
            </w:r>
          </w:p>
        </w:tc>
      </w:tr>
      <w:tr w:rsidR="00400160" w:rsidRPr="00400160" w:rsidTr="001C287E">
        <w:trPr>
          <w:trHeight w:val="223"/>
        </w:trPr>
        <w:tc>
          <w:tcPr>
            <w:tcW w:w="371" w:type="pct"/>
            <w:tcBorders>
              <w:top w:val="nil"/>
              <w:left w:val="nil"/>
              <w:bottom w:val="single" w:sz="8" w:space="0" w:color="auto"/>
              <w:right w:val="nil"/>
            </w:tcBorders>
            <w:shd w:val="clear" w:color="auto" w:fill="auto"/>
            <w:vAlign w:val="center"/>
          </w:tcPr>
          <w:p w:rsidR="002A714F" w:rsidRPr="00400160" w:rsidRDefault="002A714F" w:rsidP="002A714F">
            <w:pPr>
              <w:spacing w:after="0" w:line="240" w:lineRule="auto"/>
              <w:rPr>
                <w:rFonts w:ascii="Calibri" w:eastAsia="Times New Roman" w:hAnsi="Calibri" w:cs="Times New Roman"/>
                <w:b/>
                <w:bCs/>
                <w:sz w:val="16"/>
                <w:szCs w:val="16"/>
              </w:rPr>
            </w:pPr>
            <w:r w:rsidRPr="00400160">
              <w:rPr>
                <w:rFonts w:ascii="Calibri" w:eastAsia="Times New Roman" w:hAnsi="Calibri" w:cs="Times New Roman"/>
                <w:b/>
                <w:bCs/>
                <w:sz w:val="16"/>
                <w:szCs w:val="16"/>
              </w:rPr>
              <w:t>Law</w:t>
            </w:r>
            <w:r w:rsidR="00982A92" w:rsidRPr="00400160">
              <w:rPr>
                <w:rFonts w:ascii="Calibri" w:eastAsia="Times New Roman" w:hAnsi="Calibri" w:cs="Times New Roman"/>
                <w:b/>
                <w:bCs/>
                <w:sz w:val="16"/>
                <w:szCs w:val="16"/>
              </w:rPr>
              <w:t>(s)</w:t>
            </w:r>
          </w:p>
        </w:tc>
        <w:tc>
          <w:tcPr>
            <w:tcW w:w="677" w:type="pct"/>
            <w:tcBorders>
              <w:top w:val="nil"/>
              <w:left w:val="nil"/>
              <w:bottom w:val="single" w:sz="8" w:space="0" w:color="auto"/>
              <w:right w:val="nil"/>
            </w:tcBorders>
            <w:vAlign w:val="center"/>
          </w:tcPr>
          <w:p w:rsidR="002A714F" w:rsidRPr="00400160" w:rsidRDefault="002A714F" w:rsidP="002A714F">
            <w:pPr>
              <w:spacing w:after="0" w:line="240" w:lineRule="auto"/>
              <w:jc w:val="center"/>
              <w:rPr>
                <w:rFonts w:ascii="Calibri" w:eastAsia="Times New Roman" w:hAnsi="Calibri" w:cs="Times New Roman"/>
                <w:b/>
                <w:sz w:val="16"/>
                <w:szCs w:val="16"/>
              </w:rPr>
            </w:pPr>
            <w:r w:rsidRPr="00400160">
              <w:rPr>
                <w:rFonts w:ascii="Calibri" w:eastAsia="Times New Roman" w:hAnsi="Calibri" w:cs="Times New Roman"/>
                <w:b/>
                <w:sz w:val="16"/>
                <w:szCs w:val="16"/>
              </w:rPr>
              <w:t>FITARA</w:t>
            </w:r>
          </w:p>
        </w:tc>
        <w:tc>
          <w:tcPr>
            <w:tcW w:w="682" w:type="pct"/>
            <w:tcBorders>
              <w:top w:val="nil"/>
              <w:left w:val="nil"/>
              <w:bottom w:val="single" w:sz="8" w:space="0" w:color="auto"/>
              <w:right w:val="nil"/>
            </w:tcBorders>
            <w:vAlign w:val="center"/>
          </w:tcPr>
          <w:p w:rsidR="002A714F" w:rsidRPr="00400160" w:rsidRDefault="002A714F" w:rsidP="002A714F">
            <w:pPr>
              <w:spacing w:after="0" w:line="240" w:lineRule="auto"/>
              <w:jc w:val="center"/>
              <w:rPr>
                <w:rFonts w:ascii="Calibri" w:eastAsia="Times New Roman" w:hAnsi="Calibri" w:cs="Times New Roman"/>
                <w:b/>
                <w:sz w:val="16"/>
                <w:szCs w:val="16"/>
              </w:rPr>
            </w:pPr>
            <w:r w:rsidRPr="00400160">
              <w:rPr>
                <w:rFonts w:ascii="Calibri" w:eastAsia="Times New Roman" w:hAnsi="Calibri" w:cs="Times New Roman"/>
                <w:b/>
                <w:sz w:val="16"/>
                <w:szCs w:val="16"/>
              </w:rPr>
              <w:t>FITARA</w:t>
            </w:r>
          </w:p>
        </w:tc>
        <w:tc>
          <w:tcPr>
            <w:tcW w:w="499" w:type="pct"/>
            <w:tcBorders>
              <w:top w:val="nil"/>
              <w:left w:val="nil"/>
              <w:bottom w:val="single" w:sz="8" w:space="0" w:color="auto"/>
              <w:right w:val="nil"/>
            </w:tcBorders>
            <w:vAlign w:val="center"/>
          </w:tcPr>
          <w:p w:rsidR="002A714F" w:rsidRPr="00400160" w:rsidRDefault="002A714F" w:rsidP="002A714F">
            <w:pPr>
              <w:spacing w:after="0" w:line="240" w:lineRule="auto"/>
              <w:jc w:val="center"/>
              <w:rPr>
                <w:rFonts w:ascii="Calibri" w:eastAsia="Times New Roman" w:hAnsi="Calibri" w:cs="Times New Roman"/>
                <w:b/>
                <w:sz w:val="16"/>
                <w:szCs w:val="16"/>
              </w:rPr>
            </w:pPr>
            <w:r w:rsidRPr="00400160">
              <w:rPr>
                <w:rFonts w:ascii="Calibri" w:eastAsia="Times New Roman" w:hAnsi="Calibri" w:cs="Times New Roman"/>
                <w:b/>
                <w:sz w:val="16"/>
                <w:szCs w:val="16"/>
              </w:rPr>
              <w:t>FITARA</w:t>
            </w:r>
          </w:p>
        </w:tc>
        <w:tc>
          <w:tcPr>
            <w:tcW w:w="452" w:type="pct"/>
            <w:tcBorders>
              <w:top w:val="nil"/>
              <w:left w:val="nil"/>
              <w:bottom w:val="single" w:sz="8" w:space="0" w:color="auto"/>
              <w:right w:val="nil"/>
            </w:tcBorders>
            <w:shd w:val="clear" w:color="auto" w:fill="auto"/>
            <w:vAlign w:val="center"/>
          </w:tcPr>
          <w:p w:rsidR="002A714F" w:rsidRPr="00400160" w:rsidRDefault="002A714F" w:rsidP="002A714F">
            <w:pPr>
              <w:spacing w:after="0" w:line="240" w:lineRule="auto"/>
              <w:jc w:val="center"/>
              <w:rPr>
                <w:rFonts w:ascii="Calibri" w:eastAsia="Times New Roman" w:hAnsi="Calibri" w:cs="Times New Roman"/>
                <w:b/>
                <w:sz w:val="16"/>
                <w:szCs w:val="16"/>
              </w:rPr>
            </w:pPr>
            <w:r w:rsidRPr="00400160">
              <w:rPr>
                <w:rFonts w:ascii="Calibri" w:eastAsia="Times New Roman" w:hAnsi="Calibri" w:cs="Times New Roman"/>
                <w:b/>
                <w:sz w:val="16"/>
                <w:szCs w:val="16"/>
              </w:rPr>
              <w:t>FITARA</w:t>
            </w:r>
          </w:p>
        </w:tc>
        <w:tc>
          <w:tcPr>
            <w:tcW w:w="589" w:type="pct"/>
            <w:tcBorders>
              <w:top w:val="nil"/>
              <w:left w:val="nil"/>
              <w:bottom w:val="single" w:sz="4" w:space="0" w:color="auto"/>
              <w:right w:val="nil"/>
            </w:tcBorders>
            <w:vAlign w:val="center"/>
          </w:tcPr>
          <w:p w:rsidR="002A714F" w:rsidRPr="00400160" w:rsidRDefault="002A714F" w:rsidP="002A714F">
            <w:pPr>
              <w:spacing w:after="0" w:line="240" w:lineRule="auto"/>
              <w:jc w:val="center"/>
              <w:rPr>
                <w:rFonts w:ascii="Calibri" w:eastAsia="Times New Roman" w:hAnsi="Calibri" w:cs="Times New Roman"/>
                <w:b/>
                <w:sz w:val="16"/>
                <w:szCs w:val="16"/>
              </w:rPr>
            </w:pPr>
            <w:r w:rsidRPr="00400160">
              <w:rPr>
                <w:rFonts w:ascii="Calibri" w:eastAsia="Times New Roman" w:hAnsi="Calibri" w:cs="Times New Roman"/>
                <w:b/>
                <w:sz w:val="16"/>
                <w:szCs w:val="16"/>
              </w:rPr>
              <w:t>FITARA &amp; MEGABYTE</w:t>
            </w:r>
          </w:p>
        </w:tc>
        <w:tc>
          <w:tcPr>
            <w:tcW w:w="498" w:type="pct"/>
            <w:tcBorders>
              <w:top w:val="nil"/>
              <w:left w:val="nil"/>
              <w:bottom w:val="single" w:sz="4" w:space="0" w:color="auto"/>
              <w:right w:val="nil"/>
            </w:tcBorders>
            <w:vAlign w:val="center"/>
          </w:tcPr>
          <w:p w:rsidR="002A714F" w:rsidRPr="00400160" w:rsidRDefault="002A714F" w:rsidP="002A714F">
            <w:pPr>
              <w:spacing w:after="0" w:line="240" w:lineRule="auto"/>
              <w:jc w:val="center"/>
              <w:rPr>
                <w:rFonts w:ascii="Calibri" w:eastAsia="Times New Roman" w:hAnsi="Calibri" w:cs="Times New Roman"/>
                <w:b/>
                <w:sz w:val="16"/>
                <w:szCs w:val="16"/>
              </w:rPr>
            </w:pPr>
            <w:r w:rsidRPr="00400160">
              <w:rPr>
                <w:rFonts w:ascii="Calibri" w:eastAsia="Times New Roman" w:hAnsi="Calibri" w:cs="Times New Roman"/>
                <w:b/>
                <w:sz w:val="16"/>
                <w:szCs w:val="16"/>
              </w:rPr>
              <w:t>MGT</w:t>
            </w:r>
          </w:p>
        </w:tc>
        <w:tc>
          <w:tcPr>
            <w:tcW w:w="362" w:type="pct"/>
            <w:tcBorders>
              <w:top w:val="nil"/>
              <w:left w:val="nil"/>
              <w:bottom w:val="single" w:sz="4" w:space="0" w:color="auto"/>
              <w:right w:val="nil"/>
            </w:tcBorders>
            <w:vAlign w:val="center"/>
          </w:tcPr>
          <w:p w:rsidR="002A714F" w:rsidRPr="00400160" w:rsidRDefault="002A714F" w:rsidP="002A714F">
            <w:pPr>
              <w:spacing w:after="0" w:line="240" w:lineRule="auto"/>
              <w:jc w:val="center"/>
              <w:rPr>
                <w:rFonts w:ascii="Calibri" w:eastAsia="Times New Roman" w:hAnsi="Calibri" w:cs="Times New Roman"/>
                <w:b/>
                <w:sz w:val="16"/>
                <w:szCs w:val="16"/>
              </w:rPr>
            </w:pPr>
            <w:r w:rsidRPr="00400160">
              <w:rPr>
                <w:rFonts w:ascii="Calibri" w:eastAsia="Times New Roman" w:hAnsi="Calibri" w:cs="Times New Roman"/>
                <w:b/>
                <w:sz w:val="16"/>
                <w:szCs w:val="16"/>
              </w:rPr>
              <w:t>FISMA</w:t>
            </w:r>
          </w:p>
        </w:tc>
        <w:tc>
          <w:tcPr>
            <w:tcW w:w="363" w:type="pct"/>
            <w:tcBorders>
              <w:top w:val="nil"/>
              <w:left w:val="nil"/>
              <w:bottom w:val="single" w:sz="4" w:space="0" w:color="auto"/>
              <w:right w:val="nil"/>
            </w:tcBorders>
            <w:vAlign w:val="center"/>
          </w:tcPr>
          <w:p w:rsidR="002A714F" w:rsidRPr="00400160" w:rsidRDefault="002A714F" w:rsidP="002A714F">
            <w:pPr>
              <w:spacing w:after="0" w:line="240" w:lineRule="auto"/>
              <w:jc w:val="center"/>
              <w:rPr>
                <w:rFonts w:ascii="Calibri" w:eastAsia="Times New Roman" w:hAnsi="Calibri" w:cs="Times New Roman"/>
                <w:b/>
                <w:sz w:val="16"/>
                <w:szCs w:val="16"/>
              </w:rPr>
            </w:pPr>
          </w:p>
        </w:tc>
        <w:tc>
          <w:tcPr>
            <w:tcW w:w="136" w:type="pct"/>
            <w:tcBorders>
              <w:top w:val="nil"/>
              <w:left w:val="nil"/>
              <w:right w:val="nil"/>
            </w:tcBorders>
            <w:tcMar>
              <w:left w:w="14" w:type="dxa"/>
              <w:right w:w="14" w:type="dxa"/>
            </w:tcMar>
            <w:vAlign w:val="center"/>
          </w:tcPr>
          <w:p w:rsidR="002A714F" w:rsidRPr="00400160" w:rsidRDefault="002A714F" w:rsidP="002A714F">
            <w:pPr>
              <w:spacing w:after="0" w:line="240" w:lineRule="auto"/>
              <w:jc w:val="center"/>
              <w:rPr>
                <w:rFonts w:ascii="Calibri" w:eastAsia="Times New Roman" w:hAnsi="Calibri" w:cs="Times New Roman"/>
                <w:b/>
                <w:sz w:val="16"/>
                <w:szCs w:val="16"/>
              </w:rPr>
            </w:pPr>
          </w:p>
        </w:tc>
        <w:tc>
          <w:tcPr>
            <w:tcW w:w="371" w:type="pct"/>
            <w:tcBorders>
              <w:top w:val="nil"/>
              <w:left w:val="nil"/>
              <w:bottom w:val="single" w:sz="8" w:space="0" w:color="auto"/>
              <w:right w:val="nil"/>
            </w:tcBorders>
            <w:vAlign w:val="center"/>
          </w:tcPr>
          <w:p w:rsidR="002A714F" w:rsidRPr="00400160" w:rsidRDefault="002A714F" w:rsidP="002A714F">
            <w:pPr>
              <w:spacing w:after="0" w:line="240" w:lineRule="auto"/>
              <w:jc w:val="center"/>
              <w:rPr>
                <w:rFonts w:ascii="Calibri" w:eastAsia="Times New Roman" w:hAnsi="Calibri" w:cs="Times New Roman"/>
                <w:b/>
                <w:sz w:val="16"/>
                <w:szCs w:val="16"/>
              </w:rPr>
            </w:pPr>
          </w:p>
        </w:tc>
      </w:tr>
      <w:tr w:rsidR="00400160" w:rsidRPr="00400160" w:rsidTr="00F449D0">
        <w:trPr>
          <w:trHeight w:val="151"/>
        </w:trPr>
        <w:tc>
          <w:tcPr>
            <w:tcW w:w="371" w:type="pct"/>
            <w:tcBorders>
              <w:top w:val="nil"/>
              <w:left w:val="nil"/>
              <w:bottom w:val="single" w:sz="8" w:space="0" w:color="auto"/>
              <w:right w:val="nil"/>
            </w:tcBorders>
            <w:shd w:val="clear" w:color="auto" w:fill="auto"/>
            <w:noWrap/>
            <w:vAlign w:val="center"/>
            <w:hideMark/>
          </w:tcPr>
          <w:p w:rsidR="002A714F" w:rsidRPr="00400160" w:rsidRDefault="002A714F" w:rsidP="00AF1929">
            <w:pPr>
              <w:spacing w:after="0" w:line="240" w:lineRule="auto"/>
              <w:rPr>
                <w:rFonts w:ascii="Calibri" w:eastAsia="Times New Roman" w:hAnsi="Calibri" w:cs="Times New Roman"/>
                <w:b/>
                <w:bCs/>
                <w:sz w:val="20"/>
                <w:szCs w:val="20"/>
              </w:rPr>
            </w:pPr>
            <w:r w:rsidRPr="00400160">
              <w:rPr>
                <w:rFonts w:ascii="Calibri" w:eastAsia="Times New Roman" w:hAnsi="Calibri" w:cs="Times New Roman"/>
                <w:b/>
                <w:bCs/>
                <w:sz w:val="20"/>
                <w:szCs w:val="20"/>
              </w:rPr>
              <w:t>Grade</w:t>
            </w:r>
          </w:p>
        </w:tc>
        <w:tc>
          <w:tcPr>
            <w:tcW w:w="677" w:type="pct"/>
            <w:tcBorders>
              <w:top w:val="nil"/>
              <w:left w:val="nil"/>
              <w:bottom w:val="single" w:sz="8" w:space="0" w:color="auto"/>
              <w:right w:val="nil"/>
            </w:tcBorders>
            <w:shd w:val="clear" w:color="auto" w:fill="0070C0"/>
            <w:vAlign w:val="center"/>
          </w:tcPr>
          <w:p w:rsidR="002A714F" w:rsidRPr="00400160" w:rsidRDefault="001C287E" w:rsidP="0055021E">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A</w:t>
            </w:r>
          </w:p>
        </w:tc>
        <w:tc>
          <w:tcPr>
            <w:tcW w:w="682" w:type="pct"/>
            <w:tcBorders>
              <w:top w:val="nil"/>
              <w:left w:val="nil"/>
              <w:bottom w:val="single" w:sz="8" w:space="0" w:color="auto"/>
              <w:right w:val="nil"/>
            </w:tcBorders>
            <w:shd w:val="clear" w:color="auto" w:fill="92D050"/>
            <w:vAlign w:val="center"/>
          </w:tcPr>
          <w:p w:rsidR="002A714F" w:rsidRPr="00400160" w:rsidRDefault="001C287E" w:rsidP="0055021E">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B</w:t>
            </w:r>
          </w:p>
        </w:tc>
        <w:tc>
          <w:tcPr>
            <w:tcW w:w="499" w:type="pct"/>
            <w:tcBorders>
              <w:top w:val="nil"/>
              <w:left w:val="nil"/>
              <w:bottom w:val="single" w:sz="8" w:space="0" w:color="auto"/>
              <w:right w:val="nil"/>
            </w:tcBorders>
            <w:shd w:val="clear" w:color="auto" w:fill="0070C0"/>
            <w:vAlign w:val="center"/>
          </w:tcPr>
          <w:p w:rsidR="002A714F" w:rsidRPr="00400160" w:rsidRDefault="001C287E" w:rsidP="0055021E">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A</w:t>
            </w:r>
          </w:p>
        </w:tc>
        <w:tc>
          <w:tcPr>
            <w:tcW w:w="452" w:type="pct"/>
            <w:tcBorders>
              <w:top w:val="nil"/>
              <w:left w:val="nil"/>
              <w:bottom w:val="single" w:sz="8" w:space="0" w:color="auto"/>
              <w:right w:val="nil"/>
            </w:tcBorders>
            <w:shd w:val="clear" w:color="auto" w:fill="FFFF00"/>
            <w:noWrap/>
            <w:vAlign w:val="center"/>
          </w:tcPr>
          <w:p w:rsidR="002A714F" w:rsidRPr="00400160" w:rsidRDefault="001C287E" w:rsidP="0055021E">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C</w:t>
            </w:r>
          </w:p>
        </w:tc>
        <w:tc>
          <w:tcPr>
            <w:tcW w:w="589" w:type="pct"/>
            <w:tcBorders>
              <w:top w:val="single" w:sz="4" w:space="0" w:color="auto"/>
              <w:left w:val="nil"/>
              <w:bottom w:val="single" w:sz="4" w:space="0" w:color="auto"/>
              <w:right w:val="nil"/>
            </w:tcBorders>
            <w:shd w:val="clear" w:color="auto" w:fill="0070C0"/>
            <w:vAlign w:val="center"/>
          </w:tcPr>
          <w:p w:rsidR="002A714F" w:rsidRPr="00400160" w:rsidRDefault="001C287E" w:rsidP="0055021E">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A</w:t>
            </w:r>
          </w:p>
        </w:tc>
        <w:tc>
          <w:tcPr>
            <w:tcW w:w="498" w:type="pct"/>
            <w:tcBorders>
              <w:top w:val="single" w:sz="4" w:space="0" w:color="auto"/>
              <w:left w:val="nil"/>
              <w:bottom w:val="single" w:sz="4" w:space="0" w:color="auto"/>
              <w:right w:val="nil"/>
            </w:tcBorders>
            <w:shd w:val="clear" w:color="auto" w:fill="FFFF00"/>
            <w:vAlign w:val="center"/>
          </w:tcPr>
          <w:p w:rsidR="002A714F" w:rsidRPr="00400160" w:rsidRDefault="001C287E" w:rsidP="0055021E">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C</w:t>
            </w:r>
          </w:p>
        </w:tc>
        <w:tc>
          <w:tcPr>
            <w:tcW w:w="362" w:type="pct"/>
            <w:tcBorders>
              <w:top w:val="single" w:sz="4" w:space="0" w:color="auto"/>
              <w:left w:val="nil"/>
              <w:bottom w:val="single" w:sz="4" w:space="0" w:color="auto"/>
              <w:right w:val="nil"/>
            </w:tcBorders>
            <w:shd w:val="clear" w:color="auto" w:fill="A6A6A6" w:themeFill="background1" w:themeFillShade="A6"/>
            <w:vAlign w:val="center"/>
          </w:tcPr>
          <w:p w:rsidR="002A714F" w:rsidRPr="00400160" w:rsidRDefault="001C287E" w:rsidP="0055021E">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F</w:t>
            </w:r>
          </w:p>
        </w:tc>
        <w:tc>
          <w:tcPr>
            <w:tcW w:w="363" w:type="pct"/>
            <w:tcBorders>
              <w:top w:val="single" w:sz="4" w:space="0" w:color="auto"/>
              <w:left w:val="nil"/>
              <w:bottom w:val="single" w:sz="4" w:space="0" w:color="auto"/>
              <w:right w:val="nil"/>
            </w:tcBorders>
            <w:vAlign w:val="center"/>
          </w:tcPr>
          <w:p w:rsidR="002A714F" w:rsidRPr="00400160" w:rsidRDefault="0081203A" w:rsidP="003D52EC">
            <w:pPr>
              <w:spacing w:after="0" w:line="240" w:lineRule="auto"/>
              <w:jc w:val="center"/>
              <w:rPr>
                <w:rFonts w:ascii="Calibri" w:eastAsia="Times New Roman" w:hAnsi="Calibri" w:cs="Times New Roman"/>
                <w:sz w:val="20"/>
                <w:szCs w:val="20"/>
              </w:rPr>
            </w:pPr>
            <w:r w:rsidRPr="00400160">
              <w:rPr>
                <w:rFonts w:ascii="Calibri" w:eastAsia="Times New Roman" w:hAnsi="Calibri" w:cs="Times New Roman"/>
                <w:sz w:val="20"/>
                <w:szCs w:val="20"/>
              </w:rPr>
              <w:t>+</w:t>
            </w:r>
          </w:p>
        </w:tc>
        <w:tc>
          <w:tcPr>
            <w:tcW w:w="136" w:type="pct"/>
            <w:tcBorders>
              <w:top w:val="nil"/>
              <w:left w:val="nil"/>
              <w:right w:val="nil"/>
            </w:tcBorders>
            <w:shd w:val="clear" w:color="auto" w:fill="auto"/>
            <w:tcMar>
              <w:left w:w="14" w:type="dxa"/>
              <w:right w:w="14" w:type="dxa"/>
            </w:tcMar>
            <w:vAlign w:val="center"/>
          </w:tcPr>
          <w:p w:rsidR="002A714F" w:rsidRPr="00400160" w:rsidRDefault="002A714F" w:rsidP="003D52EC">
            <w:pPr>
              <w:spacing w:after="0" w:line="240" w:lineRule="auto"/>
              <w:jc w:val="center"/>
              <w:rPr>
                <w:rFonts w:ascii="Calibri" w:eastAsia="Times New Roman" w:hAnsi="Calibri" w:cs="Times New Roman"/>
                <w:sz w:val="20"/>
                <w:szCs w:val="20"/>
              </w:rPr>
            </w:pPr>
          </w:p>
        </w:tc>
        <w:tc>
          <w:tcPr>
            <w:tcW w:w="371" w:type="pct"/>
            <w:tcBorders>
              <w:top w:val="nil"/>
              <w:left w:val="nil"/>
              <w:bottom w:val="single" w:sz="8" w:space="0" w:color="auto"/>
              <w:right w:val="nil"/>
            </w:tcBorders>
            <w:shd w:val="clear" w:color="auto" w:fill="92D050"/>
            <w:vAlign w:val="center"/>
          </w:tcPr>
          <w:p w:rsidR="002A714F" w:rsidRPr="00400160" w:rsidRDefault="001C287E" w:rsidP="003D52EC">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B</w:t>
            </w:r>
            <w:r w:rsidR="0081203A" w:rsidRPr="00400160">
              <w:rPr>
                <w:rFonts w:ascii="Calibri" w:eastAsia="Times New Roman" w:hAnsi="Calibri" w:cs="Times New Roman"/>
                <w:sz w:val="20"/>
                <w:szCs w:val="20"/>
              </w:rPr>
              <w:t>+</w:t>
            </w:r>
          </w:p>
        </w:tc>
      </w:tr>
    </w:tbl>
    <w:p w:rsidR="00AF1929" w:rsidRDefault="00AF1929" w:rsidP="00AF1929"/>
    <w:tbl>
      <w:tblPr>
        <w:tblW w:w="9936" w:type="dxa"/>
        <w:tblBorders>
          <w:bottom w:val="single" w:sz="4" w:space="0" w:color="auto"/>
          <w:insideH w:val="single" w:sz="4" w:space="0" w:color="auto"/>
        </w:tblBorders>
        <w:tblLook w:val="0000" w:firstRow="0" w:lastRow="0" w:firstColumn="0" w:lastColumn="0" w:noHBand="0" w:noVBand="0"/>
      </w:tblPr>
      <w:tblGrid>
        <w:gridCol w:w="4968"/>
        <w:gridCol w:w="4968"/>
      </w:tblGrid>
      <w:tr w:rsidR="00317E9E" w:rsidTr="00AF1929">
        <w:trPr>
          <w:cantSplit/>
        </w:trPr>
        <w:tc>
          <w:tcPr>
            <w:tcW w:w="4968" w:type="dxa"/>
          </w:tcPr>
          <w:p w:rsidR="00317E9E" w:rsidRPr="0081203A" w:rsidRDefault="00317E9E" w:rsidP="00963AAF">
            <w:pPr>
              <w:pStyle w:val="Heading2"/>
              <w:spacing w:before="0" w:after="120" w:line="240" w:lineRule="auto"/>
            </w:pPr>
            <w:r w:rsidRPr="0081203A">
              <w:t>Incremental Development</w:t>
            </w:r>
          </w:p>
        </w:tc>
        <w:tc>
          <w:tcPr>
            <w:tcW w:w="4968" w:type="dxa"/>
          </w:tcPr>
          <w:p w:rsidR="00317E9E" w:rsidRPr="00C84AD0" w:rsidRDefault="001C287E" w:rsidP="001C287E">
            <w:pPr>
              <w:pStyle w:val="Heading2"/>
              <w:spacing w:before="0" w:after="120" w:line="240" w:lineRule="auto"/>
            </w:pPr>
            <w:r>
              <w:t>HHS</w:t>
            </w:r>
            <w:r w:rsidR="00317E9E" w:rsidRPr="00C84AD0">
              <w:t xml:space="preserve">’s Grade: </w:t>
            </w:r>
            <w:r>
              <w:t>A</w:t>
            </w:r>
          </w:p>
        </w:tc>
      </w:tr>
      <w:tr w:rsidR="00317E9E" w:rsidTr="00AF1929">
        <w:trPr>
          <w:cantSplit/>
        </w:trPr>
        <w:tc>
          <w:tcPr>
            <w:tcW w:w="4968" w:type="dxa"/>
          </w:tcPr>
          <w:p w:rsidR="00317E9E" w:rsidRPr="0081203A" w:rsidRDefault="00317E9E" w:rsidP="00963AAF">
            <w:pPr>
              <w:spacing w:after="120" w:line="240" w:lineRule="auto"/>
            </w:pPr>
            <w:r w:rsidRPr="0081203A">
              <w:t xml:space="preserve">Poor-performing projects have often used a “big bang” approach—that is, </w:t>
            </w:r>
            <w:r w:rsidR="00E05E6D">
              <w:t>broadly-</w:t>
            </w:r>
            <w:r w:rsidRPr="0081203A">
              <w:t xml:space="preserve">scoped </w:t>
            </w:r>
            <w:r w:rsidR="00E05E6D">
              <w:t xml:space="preserve">projects that take several years to </w:t>
            </w:r>
            <w:r w:rsidRPr="0081203A">
              <w:t>deliver functionality.  Consequently</w:t>
            </w:r>
            <w:r w:rsidR="00E05E6D">
              <w:t xml:space="preserve">, since 2012, </w:t>
            </w:r>
            <w:r w:rsidRPr="0081203A">
              <w:t>OMB has called for agencies’ major IT investments to deliver functionality every 6 months.</w:t>
            </w:r>
            <w:r w:rsidRPr="0081203A">
              <w:rPr>
                <w:rStyle w:val="FootnoteReference"/>
                <w:szCs w:val="24"/>
              </w:rPr>
              <w:footnoteReference w:id="5"/>
            </w:r>
            <w:r w:rsidRPr="0081203A">
              <w:t xml:space="preserve"> </w:t>
            </w:r>
          </w:p>
          <w:p w:rsidR="00317E9E" w:rsidRDefault="006330EC" w:rsidP="00963AAF">
            <w:pPr>
              <w:spacing w:after="120" w:line="240" w:lineRule="auto"/>
            </w:pPr>
            <w:r w:rsidRPr="0081203A">
              <w:t>The percentage of an agency’s software projects which reported incremental delivery of functionality.</w:t>
            </w:r>
          </w:p>
          <w:p w:rsidR="001C287E" w:rsidRPr="0081203A" w:rsidRDefault="001C287E" w:rsidP="009C5832">
            <w:pPr>
              <w:spacing w:after="120" w:line="240" w:lineRule="auto"/>
            </w:pPr>
            <w:r>
              <w:rPr>
                <w:rFonts w:eastAsiaTheme="minorEastAsia"/>
              </w:rPr>
              <w:t xml:space="preserve">The committee is considering grading the portion of all “in-progress” projects that are either delivering functionality every 6 months or using </w:t>
            </w:r>
            <w:r w:rsidR="00E05E6D">
              <w:rPr>
                <w:rFonts w:eastAsiaTheme="minorEastAsia"/>
              </w:rPr>
              <w:t xml:space="preserve">an </w:t>
            </w:r>
            <w:r w:rsidR="009C5832">
              <w:rPr>
                <w:rFonts w:eastAsiaTheme="minorEastAsia"/>
              </w:rPr>
              <w:t>incremental</w:t>
            </w:r>
            <w:r w:rsidR="00E05E6D">
              <w:rPr>
                <w:rFonts w:eastAsiaTheme="minorEastAsia"/>
              </w:rPr>
              <w:t xml:space="preserve"> software development methodology.</w:t>
            </w:r>
          </w:p>
        </w:tc>
        <w:tc>
          <w:tcPr>
            <w:tcW w:w="4968" w:type="dxa"/>
          </w:tcPr>
          <w:p w:rsidR="00317E9E" w:rsidRPr="00C84AD0" w:rsidRDefault="001C287E" w:rsidP="00963AAF">
            <w:pPr>
              <w:spacing w:after="120" w:line="240" w:lineRule="auto"/>
            </w:pPr>
            <w:r>
              <w:t>HHS</w:t>
            </w:r>
            <w:r w:rsidR="00DF34BC" w:rsidRPr="00C84AD0">
              <w:t xml:space="preserve"> </w:t>
            </w:r>
            <w:r w:rsidR="00317E9E" w:rsidRPr="00C84AD0">
              <w:t xml:space="preserve">had </w:t>
            </w:r>
            <w:r w:rsidR="0055021E">
              <w:t>15</w:t>
            </w:r>
            <w:r w:rsidR="006330EC" w:rsidRPr="00C84AD0">
              <w:t xml:space="preserve"> software development projects</w:t>
            </w:r>
            <w:r w:rsidR="00317E9E" w:rsidRPr="00C84AD0">
              <w:t xml:space="preserve">, </w:t>
            </w:r>
            <w:r w:rsidR="0055021E">
              <w:t>13</w:t>
            </w:r>
            <w:r w:rsidR="00400160" w:rsidRPr="00C84AD0">
              <w:t xml:space="preserve"> </w:t>
            </w:r>
            <w:r w:rsidR="00317E9E" w:rsidRPr="00C84AD0">
              <w:t>of which planned to deliver functionality every six months.</w:t>
            </w:r>
          </w:p>
          <w:p w:rsidR="008244FA" w:rsidRPr="00C84AD0" w:rsidRDefault="008859B8" w:rsidP="00963AAF">
            <w:pPr>
              <w:spacing w:after="120" w:line="240" w:lineRule="auto"/>
              <w:rPr>
                <w:rFonts w:eastAsiaTheme="minorEastAsia"/>
              </w:rPr>
            </w:pPr>
            <m:oMathPara>
              <m:oMath>
                <m:f>
                  <m:fPr>
                    <m:ctrlPr>
                      <w:rPr>
                        <w:rFonts w:ascii="Cambria Math" w:hAnsi="Cambria Math"/>
                        <w:i/>
                      </w:rPr>
                    </m:ctrlPr>
                  </m:fPr>
                  <m:num>
                    <m:r>
                      <w:rPr>
                        <w:rFonts w:ascii="Cambria Math" w:hAnsi="Cambria Math"/>
                      </w:rPr>
                      <m:t xml:space="preserve">100 incremental projects </m:t>
                    </m:r>
                  </m:num>
                  <m:den>
                    <m:r>
                      <w:rPr>
                        <w:rFonts w:ascii="Cambria Math" w:hAnsi="Cambria Math"/>
                      </w:rPr>
                      <m:t>103 software projects</m:t>
                    </m:r>
                  </m:den>
                </m:f>
                <m:r>
                  <w:rPr>
                    <w:rFonts w:ascii="Cambria Math" w:hAnsi="Cambria Math"/>
                  </w:rPr>
                  <m:t>=97% ratio=A</m:t>
                </m:r>
              </m:oMath>
            </m:oMathPara>
          </w:p>
          <w:p w:rsidR="001B0F37" w:rsidRDefault="00400160" w:rsidP="001C287E">
            <w:pPr>
              <w:spacing w:after="120" w:line="240" w:lineRule="auto"/>
              <w:rPr>
                <w:rFonts w:eastAsiaTheme="minorEastAsia"/>
              </w:rPr>
            </w:pPr>
            <w:r w:rsidRPr="00C84AD0">
              <w:t xml:space="preserve">If </w:t>
            </w:r>
            <w:r w:rsidR="001C287E">
              <w:t>8</w:t>
            </w:r>
            <w:r w:rsidR="00C84AD0" w:rsidRPr="00C84AD0">
              <w:t xml:space="preserve"> fewer </w:t>
            </w:r>
            <w:r w:rsidRPr="00C84AD0">
              <w:t xml:space="preserve">projects were delivered incrementally, </w:t>
            </w:r>
            <w:r w:rsidR="001C287E">
              <w:t>HHS</w:t>
            </w:r>
            <w:r w:rsidRPr="00C84AD0">
              <w:t xml:space="preserve"> would have received </w:t>
            </w:r>
            <w:r w:rsidR="001B0F37" w:rsidRPr="00C84AD0">
              <w:rPr>
                <w:rFonts w:eastAsiaTheme="minorEastAsia"/>
              </w:rPr>
              <w:t>a “</w:t>
            </w:r>
            <w:r w:rsidR="001C287E">
              <w:rPr>
                <w:rFonts w:eastAsiaTheme="minorEastAsia"/>
              </w:rPr>
              <w:t>B</w:t>
            </w:r>
            <w:r w:rsidR="006330EC" w:rsidRPr="00C84AD0">
              <w:rPr>
                <w:rFonts w:eastAsiaTheme="minorEastAsia"/>
              </w:rPr>
              <w:t>.</w:t>
            </w:r>
            <w:r w:rsidR="001B0F37" w:rsidRPr="00C84AD0">
              <w:rPr>
                <w:rFonts w:eastAsiaTheme="minorEastAsia"/>
              </w:rPr>
              <w:t>”</w:t>
            </w:r>
          </w:p>
          <w:p w:rsidR="001C287E" w:rsidRPr="00C84AD0" w:rsidRDefault="00E05E6D" w:rsidP="00E05E6D">
            <w:pPr>
              <w:spacing w:after="120" w:line="240" w:lineRule="auto"/>
              <w:rPr>
                <w:rFonts w:eastAsiaTheme="minorEastAsia"/>
              </w:rPr>
            </w:pPr>
            <w:r>
              <w:rPr>
                <w:rFonts w:eastAsiaTheme="minorEastAsia"/>
              </w:rPr>
              <w:t>If HHS were graded using the methodology the committee is considering, it would have also received an “A,” although its ratio would have been 93%, rather than 97%.</w:t>
            </w:r>
          </w:p>
        </w:tc>
      </w:tr>
      <w:tr w:rsidR="00317E9E" w:rsidTr="00AF1929">
        <w:trPr>
          <w:cantSplit/>
        </w:trPr>
        <w:tc>
          <w:tcPr>
            <w:tcW w:w="4968" w:type="dxa"/>
          </w:tcPr>
          <w:p w:rsidR="00317E9E" w:rsidRDefault="00317E9E" w:rsidP="00963AAF">
            <w:pPr>
              <w:pStyle w:val="Heading2"/>
              <w:spacing w:before="0" w:after="120" w:line="240" w:lineRule="auto"/>
            </w:pPr>
            <w:r w:rsidRPr="00AF1929">
              <w:lastRenderedPageBreak/>
              <w:t>Risk Assessment Transparency</w:t>
            </w:r>
          </w:p>
        </w:tc>
        <w:tc>
          <w:tcPr>
            <w:tcW w:w="4968" w:type="dxa"/>
          </w:tcPr>
          <w:p w:rsidR="00317E9E" w:rsidRPr="00C84AD0" w:rsidRDefault="001C287E" w:rsidP="00557CAA">
            <w:pPr>
              <w:pStyle w:val="Heading2"/>
              <w:spacing w:before="0" w:after="120" w:line="240" w:lineRule="auto"/>
            </w:pPr>
            <w:r>
              <w:t>HHS</w:t>
            </w:r>
            <w:r w:rsidR="00317E9E" w:rsidRPr="00C84AD0">
              <w:t xml:space="preserve">’s Grade: </w:t>
            </w:r>
            <w:r w:rsidR="00557CAA">
              <w:t>B</w:t>
            </w:r>
          </w:p>
        </w:tc>
      </w:tr>
      <w:tr w:rsidR="00317E9E" w:rsidTr="00AF1929">
        <w:trPr>
          <w:cantSplit/>
        </w:trPr>
        <w:tc>
          <w:tcPr>
            <w:tcW w:w="4968" w:type="dxa"/>
          </w:tcPr>
          <w:p w:rsidR="00B46503" w:rsidRDefault="00B46503" w:rsidP="00963AAF">
            <w:pPr>
              <w:spacing w:after="120" w:line="240" w:lineRule="auto"/>
            </w:pPr>
            <w:r>
              <w:t>For each major investment, FITARA requires the responsible agency Chief Information Officer (CIO) to submit an assessment of risk and the investment's ability to accomplish its goals.</w:t>
            </w:r>
            <w:r>
              <w:rPr>
                <w:rStyle w:val="FootnoteReference"/>
                <w:szCs w:val="24"/>
              </w:rPr>
              <w:footnoteReference w:id="6"/>
            </w:r>
            <w:r>
              <w:t xml:space="preserve">  Additionally, for major IT investments that rate as high risk for four consecutive quarters, the law requires that the agency CIO conduct a review aimed at identifying and addressing the causes of the risk.</w:t>
            </w:r>
            <w:r>
              <w:rPr>
                <w:rStyle w:val="FootnoteReference"/>
                <w:szCs w:val="24"/>
              </w:rPr>
              <w:footnoteReference w:id="7"/>
            </w:r>
          </w:p>
          <w:p w:rsidR="00B46503" w:rsidRDefault="00B46503" w:rsidP="00963AAF">
            <w:pPr>
              <w:spacing w:after="120" w:line="240" w:lineRule="auto"/>
              <w:rPr>
                <w:szCs w:val="24"/>
              </w:rPr>
            </w:pPr>
            <w:r>
              <w:rPr>
                <w:szCs w:val="24"/>
              </w:rPr>
              <w:t xml:space="preserve">Given the string of high-profile federal IT failures, the Committee is concerned that CIO risk assessments are overly optimistic and not realistic.  Correspondingly, this calculation rewards the agencies that are reporting more risk. </w:t>
            </w:r>
          </w:p>
          <w:p w:rsidR="00317E9E" w:rsidRDefault="00B46503" w:rsidP="00963AAF">
            <w:pPr>
              <w:spacing w:after="120" w:line="240" w:lineRule="auto"/>
            </w:pPr>
            <w:r>
              <w:rPr>
                <w:szCs w:val="24"/>
              </w:rPr>
              <w:t>The five agencies with the most reported risk (highest portion of investments rated “red” or “yellow,” by dollar) are given an “A”, the next five a “B</w:t>
            </w:r>
            <w:r w:rsidR="00830696">
              <w:rPr>
                <w:szCs w:val="24"/>
              </w:rPr>
              <w:t>,</w:t>
            </w:r>
            <w:r>
              <w:rPr>
                <w:szCs w:val="24"/>
              </w:rPr>
              <w:t>” the next five a “C</w:t>
            </w:r>
            <w:r w:rsidR="00830696">
              <w:rPr>
                <w:szCs w:val="24"/>
              </w:rPr>
              <w:t>,</w:t>
            </w:r>
            <w:r>
              <w:rPr>
                <w:szCs w:val="24"/>
              </w:rPr>
              <w:t>” the next five a “D</w:t>
            </w:r>
            <w:r w:rsidR="00830696">
              <w:rPr>
                <w:szCs w:val="24"/>
              </w:rPr>
              <w:t>,</w:t>
            </w:r>
            <w:r>
              <w:rPr>
                <w:szCs w:val="24"/>
              </w:rPr>
              <w:t>” and the last 4 are given an “F” (24 agencies were evaluated).</w:t>
            </w:r>
          </w:p>
        </w:tc>
        <w:tc>
          <w:tcPr>
            <w:tcW w:w="4968" w:type="dxa"/>
          </w:tcPr>
          <w:p w:rsidR="00317E9E" w:rsidRPr="00C84AD0" w:rsidRDefault="001C287E" w:rsidP="00963AAF">
            <w:pPr>
              <w:spacing w:after="120" w:line="240" w:lineRule="auto"/>
            </w:pPr>
            <w:r>
              <w:t>HHS</w:t>
            </w:r>
            <w:r w:rsidR="00DF34BC" w:rsidRPr="00C84AD0">
              <w:t xml:space="preserve"> </w:t>
            </w:r>
            <w:r w:rsidR="006330EC" w:rsidRPr="00C84AD0">
              <w:t>spent</w:t>
            </w:r>
            <w:r w:rsidR="00317E9E" w:rsidRPr="00C84AD0">
              <w:t xml:space="preserve"> $</w:t>
            </w:r>
            <w:r w:rsidR="00E05E6D">
              <w:t>2.9</w:t>
            </w:r>
            <w:r w:rsidR="00317E9E" w:rsidRPr="00C84AD0">
              <w:t xml:space="preserve"> </w:t>
            </w:r>
            <w:r w:rsidR="00E05E6D">
              <w:t>b</w:t>
            </w:r>
            <w:r w:rsidR="00317E9E" w:rsidRPr="00C84AD0">
              <w:t>illion on major IT investments in fiscal year 201</w:t>
            </w:r>
            <w:r w:rsidR="00E05E6D">
              <w:t>8</w:t>
            </w:r>
            <w:r w:rsidR="00317E9E" w:rsidRPr="00C84AD0">
              <w:t>. Of that total, the CIO rated $</w:t>
            </w:r>
            <w:r w:rsidR="00C857A8">
              <w:t>58</w:t>
            </w:r>
            <w:r w:rsidR="00BE3B19" w:rsidRPr="00C84AD0">
              <w:t xml:space="preserve"> </w:t>
            </w:r>
            <w:r w:rsidR="00400160" w:rsidRPr="00C84AD0">
              <w:t>m</w:t>
            </w:r>
            <w:r w:rsidR="00BE3B19" w:rsidRPr="00C84AD0">
              <w:t>illion</w:t>
            </w:r>
            <w:r w:rsidR="00317E9E" w:rsidRPr="00C84AD0">
              <w:t xml:space="preserve"> yellow</w:t>
            </w:r>
            <w:r w:rsidR="00400160" w:rsidRPr="00C84AD0">
              <w:t xml:space="preserve"> and $0 million red</w:t>
            </w:r>
            <w:r w:rsidR="00317E9E" w:rsidRPr="00C84AD0">
              <w:t>.</w:t>
            </w:r>
          </w:p>
          <w:p w:rsidR="00317E9E" w:rsidRPr="00C84AD0" w:rsidRDefault="008859B8" w:rsidP="00963AAF">
            <w:pPr>
              <w:spacing w:after="120" w:line="240" w:lineRule="auto"/>
            </w:pPr>
            <m:oMathPara>
              <m:oMath>
                <m:f>
                  <m:fPr>
                    <m:ctrlPr>
                      <w:rPr>
                        <w:rFonts w:ascii="Cambria Math" w:hAnsi="Cambria Math"/>
                        <w:i/>
                      </w:rPr>
                    </m:ctrlPr>
                  </m:fPr>
                  <m:num>
                    <m:r>
                      <w:rPr>
                        <w:rFonts w:ascii="Cambria Math" w:hAnsi="Cambria Math"/>
                      </w:rPr>
                      <m:t>$2.7 billion</m:t>
                    </m:r>
                  </m:num>
                  <m:den>
                    <m:r>
                      <w:rPr>
                        <w:rFonts w:ascii="Cambria Math" w:hAnsi="Cambria Math"/>
                      </w:rPr>
                      <m:t>$2.9 billion</m:t>
                    </m:r>
                  </m:den>
                </m:f>
                <m:r>
                  <w:rPr>
                    <w:rFonts w:ascii="Cambria Math" w:hAnsi="Cambria Math"/>
                  </w:rPr>
                  <m:t>=92%</m:t>
                </m:r>
              </m:oMath>
            </m:oMathPara>
          </w:p>
          <w:p w:rsidR="00FA06B4" w:rsidRPr="00C84AD0" w:rsidRDefault="001C287E" w:rsidP="00963AAF">
            <w:pPr>
              <w:spacing w:after="120" w:line="240" w:lineRule="auto"/>
            </w:pPr>
            <w:r>
              <w:t>HHS</w:t>
            </w:r>
            <w:r w:rsidR="00317E9E" w:rsidRPr="00C84AD0">
              <w:t xml:space="preserve">’s </w:t>
            </w:r>
            <w:r w:rsidR="00307E70" w:rsidRPr="00C84AD0">
              <w:t xml:space="preserve">risk ratio of </w:t>
            </w:r>
            <w:r w:rsidR="00E05E6D">
              <w:t>92</w:t>
            </w:r>
            <w:r w:rsidR="00317E9E" w:rsidRPr="00C84AD0">
              <w:t xml:space="preserve">% placed it in the </w:t>
            </w:r>
            <w:r w:rsidR="00E05E6D">
              <w:t>second</w:t>
            </w:r>
            <w:r w:rsidR="00C857A8">
              <w:t xml:space="preserve"> </w:t>
            </w:r>
            <w:r w:rsidR="00317E9E" w:rsidRPr="00C84AD0">
              <w:t>tier</w:t>
            </w:r>
            <w:r w:rsidR="00E05E6D">
              <w:t xml:space="preserve"> (6</w:t>
            </w:r>
            <w:r w:rsidR="00E05E6D" w:rsidRPr="00E05E6D">
              <w:rPr>
                <w:vertAlign w:val="superscript"/>
              </w:rPr>
              <w:t>th</w:t>
            </w:r>
            <w:r w:rsidR="00E05E6D">
              <w:t xml:space="preserve"> overall rank)</w:t>
            </w:r>
            <w:r w:rsidR="00317E9E" w:rsidRPr="00C84AD0">
              <w:t>, earning it a “</w:t>
            </w:r>
            <w:r w:rsidR="00E05E6D">
              <w:t>B</w:t>
            </w:r>
            <w:r w:rsidR="00400160" w:rsidRPr="00C84AD0">
              <w:t>.</w:t>
            </w:r>
            <w:r w:rsidR="00317E9E" w:rsidRPr="00C84AD0">
              <w:t>”</w:t>
            </w:r>
          </w:p>
          <w:p w:rsidR="00B9322E" w:rsidRPr="00C84AD0" w:rsidRDefault="001B0F37" w:rsidP="00557CAA">
            <w:pPr>
              <w:spacing w:after="120" w:line="240" w:lineRule="auto"/>
            </w:pPr>
            <w:r w:rsidRPr="00C84AD0">
              <w:t>To receive a</w:t>
            </w:r>
            <w:r w:rsidR="00557CAA">
              <w:t>n</w:t>
            </w:r>
            <w:r w:rsidRPr="00C84AD0">
              <w:t xml:space="preserve"> “</w:t>
            </w:r>
            <w:r w:rsidR="00E05E6D">
              <w:t>A</w:t>
            </w:r>
            <w:r w:rsidRPr="00C84AD0">
              <w:t>”</w:t>
            </w:r>
            <w:r w:rsidR="00557CAA">
              <w:t xml:space="preserve"> in this area,</w:t>
            </w:r>
            <w:r w:rsidRPr="00C84AD0">
              <w:t xml:space="preserve"> </w:t>
            </w:r>
            <w:r w:rsidR="001C287E">
              <w:t>HHS</w:t>
            </w:r>
            <w:r w:rsidR="00DF34BC" w:rsidRPr="00C84AD0">
              <w:t xml:space="preserve"> </w:t>
            </w:r>
            <w:r w:rsidRPr="00C84AD0">
              <w:t xml:space="preserve">would have needed to rate </w:t>
            </w:r>
            <w:r w:rsidR="00B9322E" w:rsidRPr="00C84AD0">
              <w:t xml:space="preserve">approximately </w:t>
            </w:r>
            <w:r w:rsidRPr="00C84AD0">
              <w:t>$</w:t>
            </w:r>
            <w:r w:rsidR="00E05E6D">
              <w:t>9</w:t>
            </w:r>
            <w:r w:rsidRPr="00C84AD0">
              <w:t xml:space="preserve"> million more as yellow or red. </w:t>
            </w:r>
          </w:p>
        </w:tc>
      </w:tr>
      <w:tr w:rsidR="00317E9E" w:rsidTr="00AF1929">
        <w:trPr>
          <w:cantSplit/>
        </w:trPr>
        <w:tc>
          <w:tcPr>
            <w:tcW w:w="4968" w:type="dxa"/>
          </w:tcPr>
          <w:p w:rsidR="00317E9E" w:rsidRDefault="00317E9E" w:rsidP="00963AAF">
            <w:pPr>
              <w:pStyle w:val="Heading2"/>
              <w:spacing w:before="0" w:after="120" w:line="240" w:lineRule="auto"/>
            </w:pPr>
            <w:r w:rsidRPr="00AF1929">
              <w:t>IT Portfolio Review Savings</w:t>
            </w:r>
          </w:p>
        </w:tc>
        <w:tc>
          <w:tcPr>
            <w:tcW w:w="4968" w:type="dxa"/>
          </w:tcPr>
          <w:p w:rsidR="00317E9E" w:rsidRPr="00C84AD0" w:rsidRDefault="001C287E" w:rsidP="00557CAA">
            <w:pPr>
              <w:pStyle w:val="Heading2"/>
              <w:spacing w:before="0" w:after="120" w:line="240" w:lineRule="auto"/>
            </w:pPr>
            <w:r>
              <w:t>HHS</w:t>
            </w:r>
            <w:r w:rsidR="00317E9E" w:rsidRPr="00C84AD0">
              <w:t xml:space="preserve">’s Grade: </w:t>
            </w:r>
            <w:r w:rsidR="00557CAA">
              <w:t>A</w:t>
            </w:r>
          </w:p>
        </w:tc>
      </w:tr>
      <w:tr w:rsidR="00317E9E" w:rsidTr="00AF1929">
        <w:trPr>
          <w:cantSplit/>
        </w:trPr>
        <w:tc>
          <w:tcPr>
            <w:tcW w:w="4968" w:type="dxa"/>
          </w:tcPr>
          <w:p w:rsidR="00317E9E" w:rsidRDefault="00317E9E" w:rsidP="00963AAF">
            <w:pPr>
              <w:spacing w:after="120" w:line="240" w:lineRule="auto"/>
            </w:pPr>
            <w:r>
              <w:t>FITARA requires OMB to develop and most agencies to implement a process to review agency IT investment portfolios in order to, among other things, increase efficiency and effectiveness, and identify potential waste and duplication.</w:t>
            </w:r>
            <w:r>
              <w:rPr>
                <w:rStyle w:val="FootnoteReference"/>
                <w:szCs w:val="24"/>
              </w:rPr>
              <w:footnoteReference w:id="8"/>
            </w:r>
            <w:r>
              <w:t xml:space="preserve"> </w:t>
            </w:r>
          </w:p>
          <w:p w:rsidR="00317E9E" w:rsidRPr="00DD6D6B" w:rsidRDefault="00317E9E" w:rsidP="00963AAF">
            <w:pPr>
              <w:spacing w:after="120" w:line="240" w:lineRule="auto"/>
            </w:pPr>
            <w:r>
              <w:t xml:space="preserve">Each agency’s total PortfolioStat savings was divided by its total IT budget for the most recent 3 fiscal years.  </w:t>
            </w:r>
            <w:r w:rsidR="00830696">
              <w:t>As with the Risk Assessment Transparency grades, t</w:t>
            </w:r>
            <w:r>
              <w:t>he resulting ratio was</w:t>
            </w:r>
            <w:r w:rsidR="00830696">
              <w:t xml:space="preserve"> ranked (</w:t>
            </w:r>
            <w:r w:rsidR="00830696">
              <w:rPr>
                <w:szCs w:val="24"/>
              </w:rPr>
              <w:t xml:space="preserve">the five agencies with the highest savings ratio received an “A,” the next five a “B,” </w:t>
            </w:r>
            <w:proofErr w:type="spellStart"/>
            <w:r w:rsidR="00830696">
              <w:rPr>
                <w:szCs w:val="24"/>
              </w:rPr>
              <w:t>etc</w:t>
            </w:r>
            <w:proofErr w:type="spellEnd"/>
            <w:r w:rsidR="00830696">
              <w:rPr>
                <w:szCs w:val="24"/>
              </w:rPr>
              <w:t>…)</w:t>
            </w:r>
            <w:r>
              <w:t>.</w:t>
            </w:r>
          </w:p>
        </w:tc>
        <w:tc>
          <w:tcPr>
            <w:tcW w:w="4968" w:type="dxa"/>
          </w:tcPr>
          <w:p w:rsidR="00DF34BC" w:rsidRPr="00C84AD0" w:rsidRDefault="001C287E" w:rsidP="00963AAF">
            <w:pPr>
              <w:spacing w:after="120" w:line="240" w:lineRule="auto"/>
            </w:pPr>
            <w:r>
              <w:t>HHS</w:t>
            </w:r>
            <w:r w:rsidR="00DF34BC" w:rsidRPr="00C84AD0">
              <w:t xml:space="preserve"> budgeted $</w:t>
            </w:r>
            <w:r w:rsidR="00557CAA">
              <w:t>17.041</w:t>
            </w:r>
            <w:r w:rsidR="00DF34BC" w:rsidRPr="00C84AD0">
              <w:t xml:space="preserve"> billion for its IT over 3 years and</w:t>
            </w:r>
            <w:r w:rsidR="00557CAA">
              <w:t>,</w:t>
            </w:r>
            <w:r w:rsidR="00DF34BC" w:rsidRPr="00C84AD0">
              <w:t xml:space="preserve"> as of </w:t>
            </w:r>
            <w:r w:rsidR="00557CAA">
              <w:t>December</w:t>
            </w:r>
            <w:r w:rsidR="00AC6C6F" w:rsidRPr="00C84AD0">
              <w:t xml:space="preserve"> 2018</w:t>
            </w:r>
            <w:r w:rsidR="0081203A" w:rsidRPr="00C84AD0">
              <w:t>,</w:t>
            </w:r>
            <w:r w:rsidR="00DF34BC" w:rsidRPr="00C84AD0">
              <w:t xml:space="preserve"> had reported $</w:t>
            </w:r>
            <w:r w:rsidR="00557CAA">
              <w:t xml:space="preserve">4.378 billion </w:t>
            </w:r>
            <w:r w:rsidR="00DF34BC" w:rsidRPr="00C84AD0">
              <w:t xml:space="preserve">in savings </w:t>
            </w:r>
            <w:r w:rsidR="00557CAA">
              <w:t>and avoidances from 2012 through 2019</w:t>
            </w:r>
            <w:r w:rsidR="00DF34BC" w:rsidRPr="00C84AD0">
              <w:t>.</w:t>
            </w:r>
          </w:p>
          <w:p w:rsidR="00DF34BC" w:rsidRPr="00C84AD0" w:rsidRDefault="008859B8" w:rsidP="00963AAF">
            <w:pPr>
              <w:spacing w:after="120" w:line="240" w:lineRule="auto"/>
            </w:pPr>
            <m:oMathPara>
              <m:oMath>
                <m:f>
                  <m:fPr>
                    <m:ctrlPr>
                      <w:rPr>
                        <w:rFonts w:ascii="Cambria Math" w:hAnsi="Cambria Math"/>
                        <w:i/>
                      </w:rPr>
                    </m:ctrlPr>
                  </m:fPr>
                  <m:num>
                    <m:r>
                      <w:rPr>
                        <w:rFonts w:ascii="Cambria Math" w:hAnsi="Cambria Math"/>
                      </w:rPr>
                      <m:t>$4.378 billion</m:t>
                    </m:r>
                  </m:num>
                  <m:den>
                    <m:r>
                      <w:rPr>
                        <w:rFonts w:ascii="Cambria Math" w:hAnsi="Cambria Math"/>
                      </w:rPr>
                      <m:t xml:space="preserve">$17.041 billion </m:t>
                    </m:r>
                  </m:den>
                </m:f>
                <m:r>
                  <w:rPr>
                    <w:rFonts w:ascii="Cambria Math" w:hAnsi="Cambria Math"/>
                  </w:rPr>
                  <m:t>=25.7%</m:t>
                </m:r>
              </m:oMath>
            </m:oMathPara>
          </w:p>
          <w:p w:rsidR="001B0F37" w:rsidRPr="00C84AD0" w:rsidRDefault="001C287E" w:rsidP="00557CAA">
            <w:pPr>
              <w:spacing w:after="120" w:line="240" w:lineRule="auto"/>
            </w:pPr>
            <w:r>
              <w:t>HHS</w:t>
            </w:r>
            <w:r w:rsidR="00DF34BC" w:rsidRPr="00C84AD0">
              <w:t xml:space="preserve">’s savings ratio of </w:t>
            </w:r>
            <w:r w:rsidR="00557CAA">
              <w:t>25.7</w:t>
            </w:r>
            <w:r w:rsidR="00DF34BC" w:rsidRPr="00C84AD0">
              <w:t xml:space="preserve">% </w:t>
            </w:r>
            <w:r w:rsidR="00557CAA">
              <w:t>was the highest of all the agencies</w:t>
            </w:r>
            <w:r w:rsidR="00DF34BC" w:rsidRPr="00C84AD0">
              <w:t xml:space="preserve">, </w:t>
            </w:r>
            <w:r w:rsidR="00557CAA">
              <w:t>and earned</w:t>
            </w:r>
            <w:r w:rsidR="00DF34BC" w:rsidRPr="00C84AD0">
              <w:t xml:space="preserve"> it a</w:t>
            </w:r>
            <w:r w:rsidR="00557CAA">
              <w:t>n</w:t>
            </w:r>
            <w:r w:rsidR="00DF34BC" w:rsidRPr="00C84AD0">
              <w:t xml:space="preserve"> “</w:t>
            </w:r>
            <w:r w:rsidR="00557CAA">
              <w:t>A</w:t>
            </w:r>
            <w:r w:rsidR="0081203A" w:rsidRPr="00C84AD0">
              <w:t>.</w:t>
            </w:r>
            <w:r w:rsidR="00DF34BC" w:rsidRPr="00C84AD0">
              <w:t>”</w:t>
            </w:r>
          </w:p>
        </w:tc>
      </w:tr>
      <w:tr w:rsidR="00AF1929" w:rsidTr="00AF1929">
        <w:trPr>
          <w:cantSplit/>
        </w:trPr>
        <w:tc>
          <w:tcPr>
            <w:tcW w:w="4968" w:type="dxa"/>
          </w:tcPr>
          <w:p w:rsidR="00AF1929" w:rsidRDefault="00AF1929" w:rsidP="00963AAF">
            <w:pPr>
              <w:pStyle w:val="Heading2"/>
              <w:spacing w:before="0" w:after="120" w:line="240" w:lineRule="auto"/>
            </w:pPr>
            <w:r>
              <w:lastRenderedPageBreak/>
              <w:t>Data Center Consolidation</w:t>
            </w:r>
          </w:p>
        </w:tc>
        <w:tc>
          <w:tcPr>
            <w:tcW w:w="4968" w:type="dxa"/>
          </w:tcPr>
          <w:p w:rsidR="00AF1929" w:rsidRPr="00C84AD0" w:rsidRDefault="001C287E" w:rsidP="00557CAA">
            <w:pPr>
              <w:pStyle w:val="Heading2"/>
              <w:spacing w:before="0" w:after="120" w:line="240" w:lineRule="auto"/>
            </w:pPr>
            <w:r>
              <w:t>HHS</w:t>
            </w:r>
            <w:r w:rsidR="00317E9E" w:rsidRPr="00C84AD0">
              <w:t xml:space="preserve">’s Grade: </w:t>
            </w:r>
            <w:r w:rsidR="00557CAA">
              <w:t>C</w:t>
            </w:r>
          </w:p>
        </w:tc>
      </w:tr>
      <w:tr w:rsidR="00AF1929" w:rsidTr="00AF1929">
        <w:trPr>
          <w:cantSplit/>
        </w:trPr>
        <w:tc>
          <w:tcPr>
            <w:tcW w:w="4968" w:type="dxa"/>
          </w:tcPr>
          <w:p w:rsidR="00AF1929" w:rsidRPr="00E56FFD" w:rsidRDefault="00AF1929" w:rsidP="00963AAF">
            <w:pPr>
              <w:spacing w:after="120" w:line="240" w:lineRule="auto"/>
            </w:pPr>
            <w:r w:rsidRPr="00E56FFD">
              <w:t>FITARA requires agencies (with a few caveats) to provide the Office of Management and Budget (OMB) with a data center inventory, a strategy for consolidating and optimizing the data centers (to include planned cost savings), and quarterly updates on progress made.</w:t>
            </w:r>
            <w:r w:rsidRPr="00E56FFD">
              <w:rPr>
                <w:rStyle w:val="FootnoteReference"/>
                <w:szCs w:val="24"/>
              </w:rPr>
              <w:footnoteReference w:id="9"/>
            </w:r>
            <w:r w:rsidRPr="00E56FFD">
              <w:rPr>
                <w:szCs w:val="24"/>
              </w:rPr>
              <w:t xml:space="preserve"> </w:t>
            </w:r>
            <w:r w:rsidRPr="00E56FFD">
              <w:t xml:space="preserve"> The law also requires OMB to develop a goal of how much is to be saved through this initiative, and provide annual updates on cost savings achieved.</w:t>
            </w:r>
          </w:p>
          <w:p w:rsidR="006E6070" w:rsidRPr="00E56FFD" w:rsidRDefault="00AF1929" w:rsidP="00963AAF">
            <w:pPr>
              <w:spacing w:after="120" w:line="240" w:lineRule="auto"/>
            </w:pPr>
            <w:r w:rsidRPr="00E56FFD">
              <w:t xml:space="preserve">Agencies were graded based on </w:t>
            </w:r>
            <w:r w:rsidR="006E6070" w:rsidRPr="00E56FFD">
              <w:t>two factors:</w:t>
            </w:r>
          </w:p>
          <w:p w:rsidR="006E6070" w:rsidRPr="00E56FFD" w:rsidRDefault="00AF1929" w:rsidP="00963AAF">
            <w:pPr>
              <w:pStyle w:val="ListParagraph"/>
              <w:numPr>
                <w:ilvl w:val="0"/>
                <w:numId w:val="9"/>
              </w:numPr>
              <w:spacing w:after="120" w:line="240" w:lineRule="auto"/>
            </w:pPr>
            <w:r w:rsidRPr="00E56FFD">
              <w:t>the percentage of planned savings</w:t>
            </w:r>
            <w:r w:rsidR="006E6070" w:rsidRPr="00E56FFD">
              <w:t xml:space="preserve"> that have been achieved, and</w:t>
            </w:r>
          </w:p>
          <w:p w:rsidR="006E6070" w:rsidRPr="00E56FFD" w:rsidRDefault="006E6070" w:rsidP="00963AAF">
            <w:pPr>
              <w:pStyle w:val="ListParagraph"/>
              <w:numPr>
                <w:ilvl w:val="0"/>
                <w:numId w:val="9"/>
              </w:numPr>
              <w:spacing w:after="120" w:line="240" w:lineRule="auto"/>
            </w:pPr>
            <w:r w:rsidRPr="00E56FFD">
              <w:t>the number of unmet data center optimization metrics</w:t>
            </w:r>
          </w:p>
          <w:p w:rsidR="006E6070" w:rsidRPr="00E56FFD" w:rsidRDefault="006E6070" w:rsidP="00963AAF">
            <w:pPr>
              <w:spacing w:after="120" w:line="240" w:lineRule="auto"/>
            </w:pPr>
            <w:r w:rsidRPr="00E56FFD">
              <w:t>Each of the two parts count as half of the grade, and the result is adjusted up if an agency had closed more than 50% of their total data centers.</w:t>
            </w:r>
          </w:p>
        </w:tc>
        <w:tc>
          <w:tcPr>
            <w:tcW w:w="4968" w:type="dxa"/>
          </w:tcPr>
          <w:p w:rsidR="00AF1929" w:rsidRPr="00C84AD0" w:rsidRDefault="006E6070" w:rsidP="00963AAF">
            <w:pPr>
              <w:spacing w:after="120" w:line="240" w:lineRule="auto"/>
            </w:pPr>
            <w:r w:rsidRPr="00C84AD0">
              <w:t>OMB set a savings goal of $</w:t>
            </w:r>
            <w:r w:rsidR="00557CAA">
              <w:t>78</w:t>
            </w:r>
            <w:r w:rsidRPr="00C84AD0">
              <w:t xml:space="preserve"> </w:t>
            </w:r>
            <w:r w:rsidR="00400160" w:rsidRPr="00C84AD0">
              <w:t>m</w:t>
            </w:r>
            <w:r w:rsidRPr="00C84AD0">
              <w:t xml:space="preserve">illion for </w:t>
            </w:r>
            <w:r w:rsidR="001C287E">
              <w:t>HHS</w:t>
            </w:r>
            <w:r w:rsidRPr="00C84AD0">
              <w:t>. A</w:t>
            </w:r>
            <w:r w:rsidR="00AF1929" w:rsidRPr="00C84AD0">
              <w:t xml:space="preserve">s of </w:t>
            </w:r>
            <w:r w:rsidR="00557CAA">
              <w:t>December</w:t>
            </w:r>
            <w:r w:rsidRPr="00C84AD0">
              <w:t xml:space="preserve"> 201</w:t>
            </w:r>
            <w:r w:rsidR="00E56FFD" w:rsidRPr="00C84AD0">
              <w:t>8</w:t>
            </w:r>
            <w:r w:rsidRPr="00C84AD0">
              <w:t xml:space="preserve">, </w:t>
            </w:r>
            <w:r w:rsidR="001C287E">
              <w:t>HHS</w:t>
            </w:r>
            <w:r w:rsidR="00DF34BC" w:rsidRPr="00C84AD0">
              <w:t xml:space="preserve"> </w:t>
            </w:r>
            <w:r w:rsidR="00AF1929" w:rsidRPr="00C84AD0">
              <w:t xml:space="preserve">had reported </w:t>
            </w:r>
            <w:r w:rsidR="00557CAA">
              <w:t>$169 million towards that goal</w:t>
            </w:r>
            <w:r w:rsidR="00AF1929" w:rsidRPr="00C84AD0">
              <w:t>.</w:t>
            </w:r>
          </w:p>
          <w:p w:rsidR="00AF1929" w:rsidRPr="00C84AD0" w:rsidRDefault="008859B8" w:rsidP="00963AAF">
            <w:pPr>
              <w:spacing w:after="120" w:line="240" w:lineRule="auto"/>
              <w:rPr>
                <w:rFonts w:eastAsiaTheme="minorEastAsia"/>
              </w:rPr>
            </w:pPr>
            <m:oMathPara>
              <m:oMath>
                <m:f>
                  <m:fPr>
                    <m:ctrlPr>
                      <w:rPr>
                        <w:rFonts w:ascii="Cambria Math" w:hAnsi="Cambria Math"/>
                        <w:i/>
                      </w:rPr>
                    </m:ctrlPr>
                  </m:fPr>
                  <m:num>
                    <m:r>
                      <w:rPr>
                        <w:rFonts w:ascii="Cambria Math" w:hAnsi="Cambria Math"/>
                      </w:rPr>
                      <m:t xml:space="preserve">$169 </m:t>
                    </m:r>
                  </m:num>
                  <m:den>
                    <m:r>
                      <w:rPr>
                        <w:rFonts w:ascii="Cambria Math" w:hAnsi="Cambria Math"/>
                      </w:rPr>
                      <m:t>$78</m:t>
                    </m:r>
                  </m:den>
                </m:f>
                <m:r>
                  <w:rPr>
                    <w:rFonts w:ascii="Cambria Math" w:hAnsi="Cambria Math"/>
                  </w:rPr>
                  <m:t>=216% achieved= A</m:t>
                </m:r>
              </m:oMath>
            </m:oMathPara>
          </w:p>
          <w:p w:rsidR="006E6070" w:rsidRPr="00C84AD0" w:rsidRDefault="00481D97" w:rsidP="00963AAF">
            <w:pPr>
              <w:spacing w:after="120" w:line="240" w:lineRule="auto"/>
            </w:pPr>
            <w:r>
              <w:t>However</w:t>
            </w:r>
            <w:r w:rsidR="006E6070" w:rsidRPr="00C84AD0">
              <w:t xml:space="preserve">, </w:t>
            </w:r>
            <w:r w:rsidR="001C287E">
              <w:t>HHS</w:t>
            </w:r>
            <w:r w:rsidR="00DF34BC" w:rsidRPr="00C84AD0">
              <w:t xml:space="preserve"> </w:t>
            </w:r>
            <w:r w:rsidR="006E6070" w:rsidRPr="00C84AD0">
              <w:t>ha</w:t>
            </w:r>
            <w:r w:rsidR="00400160" w:rsidRPr="00C84AD0">
              <w:t>d</w:t>
            </w:r>
            <w:r w:rsidR="006E6070" w:rsidRPr="00C84AD0">
              <w:t xml:space="preserve"> </w:t>
            </w:r>
            <w:r>
              <w:t xml:space="preserve">not met any </w:t>
            </w:r>
            <w:r w:rsidR="006E6070" w:rsidRPr="00C84AD0">
              <w:t>of the five da</w:t>
            </w:r>
            <w:r w:rsidR="00E56FFD" w:rsidRPr="00C84AD0">
              <w:t>ta center optim</w:t>
            </w:r>
            <w:r w:rsidR="00C857A8">
              <w:t>ization metrics, resulting in a</w:t>
            </w:r>
            <w:r>
              <w:t>n</w:t>
            </w:r>
            <w:r w:rsidR="00E56FFD" w:rsidRPr="00C84AD0">
              <w:t xml:space="preserve"> “</w:t>
            </w:r>
            <w:r>
              <w:t>F</w:t>
            </w:r>
            <w:r w:rsidR="00E56FFD" w:rsidRPr="00C84AD0">
              <w:t>” for that portion of the grade.</w:t>
            </w:r>
          </w:p>
          <w:p w:rsidR="00E561EE" w:rsidRPr="00C84AD0" w:rsidRDefault="001C287E" w:rsidP="00963AAF">
            <w:pPr>
              <w:spacing w:after="120" w:line="240" w:lineRule="auto"/>
              <w:rPr>
                <w:rFonts w:eastAsiaTheme="minorEastAsia"/>
              </w:rPr>
            </w:pPr>
            <w:r>
              <w:t>HHS</w:t>
            </w:r>
            <w:r w:rsidR="00ED678E" w:rsidRPr="00C84AD0">
              <w:t>’s “</w:t>
            </w:r>
            <w:proofErr w:type="gramStart"/>
            <w:r w:rsidR="00481D97">
              <w:t>A</w:t>
            </w:r>
            <w:proofErr w:type="gramEnd"/>
            <w:r w:rsidR="00ED678E" w:rsidRPr="00C84AD0">
              <w:t>” in savings and “</w:t>
            </w:r>
            <w:r w:rsidR="00481D97">
              <w:t>F</w:t>
            </w:r>
            <w:r w:rsidR="00ED678E" w:rsidRPr="00C84AD0">
              <w:t>” in optimization average to a “</w:t>
            </w:r>
            <w:r w:rsidR="00481D97">
              <w:t>C</w:t>
            </w:r>
            <w:r w:rsidR="00ED678E" w:rsidRPr="00C84AD0">
              <w:t>.</w:t>
            </w:r>
            <w:r w:rsidR="00E56FFD" w:rsidRPr="00C84AD0">
              <w:t xml:space="preserve">” </w:t>
            </w:r>
            <w:r w:rsidR="00E561EE" w:rsidRPr="00C84AD0">
              <w:t>To raise its grade to a “</w:t>
            </w:r>
            <w:r w:rsidR="00481D97">
              <w:t>B</w:t>
            </w:r>
            <w:r w:rsidR="00E561EE" w:rsidRPr="00C84AD0">
              <w:t xml:space="preserve">,” </w:t>
            </w:r>
            <w:r>
              <w:t>HHS</w:t>
            </w:r>
            <w:r w:rsidR="00DF34BC" w:rsidRPr="00C84AD0">
              <w:t xml:space="preserve"> </w:t>
            </w:r>
            <w:r w:rsidR="00481D97">
              <w:t>w</w:t>
            </w:r>
            <w:r w:rsidR="001B0F37" w:rsidRPr="00C84AD0">
              <w:rPr>
                <w:rFonts w:eastAsiaTheme="minorEastAsia"/>
              </w:rPr>
              <w:t xml:space="preserve">ould </w:t>
            </w:r>
            <w:r w:rsidR="00481D97">
              <w:rPr>
                <w:rFonts w:eastAsiaTheme="minorEastAsia"/>
              </w:rPr>
              <w:t>need to</w:t>
            </w:r>
            <w:r w:rsidR="00E561EE" w:rsidRPr="00C84AD0">
              <w:rPr>
                <w:rFonts w:eastAsiaTheme="minorEastAsia"/>
              </w:rPr>
              <w:t>:</w:t>
            </w:r>
          </w:p>
          <w:p w:rsidR="00E561EE" w:rsidRPr="00C84AD0" w:rsidRDefault="00E561EE" w:rsidP="00963AAF">
            <w:pPr>
              <w:pStyle w:val="ListParagraph"/>
              <w:numPr>
                <w:ilvl w:val="0"/>
                <w:numId w:val="10"/>
              </w:numPr>
              <w:spacing w:after="120" w:line="240" w:lineRule="auto"/>
              <w:rPr>
                <w:rFonts w:eastAsiaTheme="minorEastAsia"/>
              </w:rPr>
            </w:pPr>
            <w:r w:rsidRPr="00C84AD0">
              <w:rPr>
                <w:rFonts w:eastAsiaTheme="minorEastAsia"/>
              </w:rPr>
              <w:t xml:space="preserve">meet </w:t>
            </w:r>
            <w:r w:rsidR="00C857A8">
              <w:rPr>
                <w:rFonts w:eastAsiaTheme="minorEastAsia"/>
              </w:rPr>
              <w:t>one</w:t>
            </w:r>
            <w:r w:rsidR="00BA77BF" w:rsidRPr="00C84AD0">
              <w:rPr>
                <w:rFonts w:eastAsiaTheme="minorEastAsia"/>
              </w:rPr>
              <w:t xml:space="preserve"> more</w:t>
            </w:r>
            <w:r w:rsidRPr="00C84AD0">
              <w:rPr>
                <w:rFonts w:eastAsiaTheme="minorEastAsia"/>
              </w:rPr>
              <w:t xml:space="preserve"> optimization metric goal</w:t>
            </w:r>
            <w:r w:rsidR="00E56FFD" w:rsidRPr="00C84AD0">
              <w:rPr>
                <w:rFonts w:eastAsiaTheme="minorEastAsia"/>
              </w:rPr>
              <w:t>s</w:t>
            </w:r>
            <w:r w:rsidRPr="00C84AD0">
              <w:rPr>
                <w:rFonts w:eastAsiaTheme="minorEastAsia"/>
              </w:rPr>
              <w:t>, or</w:t>
            </w:r>
          </w:p>
          <w:p w:rsidR="00E561EE" w:rsidRPr="00C84AD0" w:rsidRDefault="00E561EE" w:rsidP="00963AAF">
            <w:pPr>
              <w:pStyle w:val="ListParagraph"/>
              <w:numPr>
                <w:ilvl w:val="0"/>
                <w:numId w:val="10"/>
              </w:numPr>
              <w:spacing w:after="120" w:line="240" w:lineRule="auto"/>
              <w:rPr>
                <w:rFonts w:eastAsiaTheme="minorEastAsia"/>
              </w:rPr>
            </w:pPr>
            <w:proofErr w:type="gramStart"/>
            <w:r w:rsidRPr="00C84AD0">
              <w:rPr>
                <w:rFonts w:eastAsiaTheme="minorEastAsia"/>
              </w:rPr>
              <w:t>close</w:t>
            </w:r>
            <w:proofErr w:type="gramEnd"/>
            <w:r w:rsidRPr="00C84AD0">
              <w:rPr>
                <w:rFonts w:eastAsiaTheme="minorEastAsia"/>
              </w:rPr>
              <w:t xml:space="preserve"> more than 50% of its total data centers.</w:t>
            </w:r>
          </w:p>
        </w:tc>
      </w:tr>
      <w:tr w:rsidR="007A1D85" w:rsidTr="002153FF">
        <w:trPr>
          <w:cantSplit/>
        </w:trPr>
        <w:tc>
          <w:tcPr>
            <w:tcW w:w="4968" w:type="dxa"/>
            <w:shd w:val="clear" w:color="auto" w:fill="auto"/>
          </w:tcPr>
          <w:p w:rsidR="007A1D85" w:rsidRPr="00C84AD0" w:rsidRDefault="007A1D85" w:rsidP="00963AAF">
            <w:pPr>
              <w:pStyle w:val="Heading2"/>
              <w:spacing w:before="0" w:after="120" w:line="240" w:lineRule="auto"/>
            </w:pPr>
            <w:r w:rsidRPr="00C84AD0">
              <w:t>Software Licenses</w:t>
            </w:r>
          </w:p>
        </w:tc>
        <w:tc>
          <w:tcPr>
            <w:tcW w:w="4968" w:type="dxa"/>
            <w:shd w:val="clear" w:color="auto" w:fill="auto"/>
          </w:tcPr>
          <w:p w:rsidR="007A1D85" w:rsidRPr="00C84AD0" w:rsidRDefault="001C287E" w:rsidP="00557CAA">
            <w:pPr>
              <w:pStyle w:val="Heading2"/>
              <w:spacing w:before="0" w:after="120" w:line="240" w:lineRule="auto"/>
            </w:pPr>
            <w:r>
              <w:t>HHS</w:t>
            </w:r>
            <w:r w:rsidR="007A1D85" w:rsidRPr="00C84AD0">
              <w:t xml:space="preserve">’s Grade: </w:t>
            </w:r>
            <w:r w:rsidR="00557CAA">
              <w:t>A</w:t>
            </w:r>
          </w:p>
        </w:tc>
      </w:tr>
      <w:tr w:rsidR="007A1D85" w:rsidTr="002153FF">
        <w:trPr>
          <w:cantSplit/>
        </w:trPr>
        <w:tc>
          <w:tcPr>
            <w:tcW w:w="4968" w:type="dxa"/>
            <w:shd w:val="clear" w:color="auto" w:fill="auto"/>
          </w:tcPr>
          <w:p w:rsidR="00463693" w:rsidRPr="00C84AD0" w:rsidRDefault="00463693" w:rsidP="00963AAF">
            <w:pPr>
              <w:spacing w:after="120" w:line="240" w:lineRule="auto"/>
            </w:pPr>
            <w:r w:rsidRPr="00C84AD0">
              <w:t>FITARA requires GSA to enhance use of software license agreements across all executive agencies. More recently,</w:t>
            </w:r>
            <w:r w:rsidR="002153FF" w:rsidRPr="00C84AD0">
              <w:t xml:space="preserve"> the MEGABYTE</w:t>
            </w:r>
            <w:r w:rsidRPr="00C84AD0">
              <w:t xml:space="preserve"> Act required OMB to issue a directive to every executive agency CIO to, among other things, establish a comprehensive, regularly updated inventory of software licenses and analyze software usage to make cost-effective decisions.</w:t>
            </w:r>
          </w:p>
          <w:p w:rsidR="007A1D85" w:rsidRPr="00C84AD0" w:rsidRDefault="00463693" w:rsidP="00963AAF">
            <w:pPr>
              <w:spacing w:after="120" w:line="240" w:lineRule="auto"/>
            </w:pPr>
            <w:r w:rsidRPr="00C84AD0">
              <w:t>An agency receives a “C” if it has a comprehensive, regularly-updated inventory of software licenses. Agencies with a “C” can move up to an “A” if their inventory is used to make cost-effective decisions.</w:t>
            </w:r>
          </w:p>
        </w:tc>
        <w:tc>
          <w:tcPr>
            <w:tcW w:w="4968" w:type="dxa"/>
            <w:shd w:val="clear" w:color="auto" w:fill="auto"/>
          </w:tcPr>
          <w:p w:rsidR="00481D97" w:rsidRDefault="00481D97" w:rsidP="00481D97">
            <w:pPr>
              <w:spacing w:after="120" w:line="240" w:lineRule="auto"/>
            </w:pPr>
            <w:r>
              <w:t xml:space="preserve">HHS has a comprehensive and regularly-updated inventory of software licenses that it uses to make management decisions and save money. </w:t>
            </w:r>
          </w:p>
          <w:p w:rsidR="007A1D85" w:rsidRPr="00C84AD0" w:rsidRDefault="00481D97" w:rsidP="00481D97">
            <w:pPr>
              <w:spacing w:after="120" w:line="240" w:lineRule="auto"/>
              <w:rPr>
                <w:rFonts w:eastAsiaTheme="minorEastAsia"/>
              </w:rPr>
            </w:pPr>
            <w:r>
              <w:t>Consequently, HHS received an “A” in this area.</w:t>
            </w:r>
          </w:p>
        </w:tc>
      </w:tr>
      <w:tr w:rsidR="003E302F" w:rsidTr="002153FF">
        <w:trPr>
          <w:cantSplit/>
        </w:trPr>
        <w:tc>
          <w:tcPr>
            <w:tcW w:w="4968" w:type="dxa"/>
            <w:shd w:val="clear" w:color="auto" w:fill="auto"/>
          </w:tcPr>
          <w:p w:rsidR="003E302F" w:rsidRPr="00463693" w:rsidRDefault="004019AD" w:rsidP="00963AAF">
            <w:pPr>
              <w:pStyle w:val="Heading2"/>
              <w:spacing w:before="0" w:after="120" w:line="240" w:lineRule="auto"/>
            </w:pPr>
            <w:r w:rsidRPr="004019AD">
              <w:lastRenderedPageBreak/>
              <w:t>Working Capital Funds</w:t>
            </w:r>
          </w:p>
        </w:tc>
        <w:tc>
          <w:tcPr>
            <w:tcW w:w="4968" w:type="dxa"/>
            <w:shd w:val="clear" w:color="auto" w:fill="auto"/>
          </w:tcPr>
          <w:p w:rsidR="003E302F" w:rsidRPr="003C06A5" w:rsidRDefault="001C287E" w:rsidP="0055021E">
            <w:pPr>
              <w:pStyle w:val="Heading2"/>
              <w:spacing w:before="0" w:after="120" w:line="240" w:lineRule="auto"/>
            </w:pPr>
            <w:r>
              <w:t>HHS</w:t>
            </w:r>
            <w:r w:rsidR="003E302F" w:rsidRPr="003C06A5">
              <w:t>’s Grade:</w:t>
            </w:r>
            <w:r w:rsidR="0081203A" w:rsidRPr="003C06A5">
              <w:t xml:space="preserve"> </w:t>
            </w:r>
            <w:r w:rsidR="0055021E">
              <w:t>C</w:t>
            </w:r>
          </w:p>
        </w:tc>
      </w:tr>
      <w:tr w:rsidR="003E302F" w:rsidTr="002153FF">
        <w:trPr>
          <w:cantSplit/>
        </w:trPr>
        <w:tc>
          <w:tcPr>
            <w:tcW w:w="4968" w:type="dxa"/>
            <w:shd w:val="clear" w:color="auto" w:fill="auto"/>
          </w:tcPr>
          <w:p w:rsidR="003E302F" w:rsidRDefault="004019AD" w:rsidP="00963AAF">
            <w:pPr>
              <w:spacing w:after="120" w:line="240" w:lineRule="auto"/>
            </w:pPr>
            <w:r>
              <w:t>MGT allows agencies to establish working capital funds to modernize legacy IT systems and address cybersecurity.</w:t>
            </w:r>
          </w:p>
          <w:p w:rsidR="004019AD" w:rsidRPr="00463693" w:rsidRDefault="00A72B54" w:rsidP="00963AAF">
            <w:pPr>
              <w:spacing w:after="120" w:line="240" w:lineRule="auto"/>
            </w:pPr>
            <w:r w:rsidRPr="00A72B54">
              <w:t>An agency receives an “A” if it has an MGT-specific WCF with a CIO in charge of decision-making, a “B” if it plans to setup an MGT WCF in 2018 or 2019, a “C” if it has a department-level WCF, a “D” if it has some other IT-related funding method, and an “F” otherwise.</w:t>
            </w:r>
          </w:p>
        </w:tc>
        <w:tc>
          <w:tcPr>
            <w:tcW w:w="4968" w:type="dxa"/>
            <w:shd w:val="clear" w:color="auto" w:fill="auto"/>
          </w:tcPr>
          <w:p w:rsidR="00E56FFD" w:rsidRPr="003C06A5" w:rsidRDefault="00BA77BF" w:rsidP="00E56FFD">
            <w:pPr>
              <w:spacing w:after="120" w:line="240" w:lineRule="auto"/>
            </w:pPr>
            <w:r w:rsidRPr="003C06A5">
              <w:t xml:space="preserve">In response to the </w:t>
            </w:r>
            <w:r w:rsidR="00E56FFD" w:rsidRPr="003C06A5">
              <w:t>committees’ request for information on the MGT act</w:t>
            </w:r>
            <w:r w:rsidR="003811F5">
              <w:t xml:space="preserve"> in May 2018</w:t>
            </w:r>
            <w:r w:rsidRPr="003C06A5">
              <w:t xml:space="preserve">, </w:t>
            </w:r>
            <w:r w:rsidR="001C287E">
              <w:t>HHS</w:t>
            </w:r>
            <w:r w:rsidRPr="003C06A5">
              <w:t xml:space="preserve"> indicated that it </w:t>
            </w:r>
            <w:r w:rsidR="003811F5">
              <w:t>could create an MGT-specific WCF, but it lacked the authority to transfer funds into the account</w:t>
            </w:r>
            <w:r w:rsidR="00E56FFD" w:rsidRPr="003C06A5">
              <w:t xml:space="preserve">. </w:t>
            </w:r>
            <w:r w:rsidR="003811F5">
              <w:t>However, the department noted that it has a department-level working capital fund as well as a nonrecurring expenses fund, both of which can be used to fund IT improvements and replacements.</w:t>
            </w:r>
          </w:p>
          <w:p w:rsidR="003E302F" w:rsidRDefault="001C287E" w:rsidP="00861CD2">
            <w:pPr>
              <w:spacing w:after="120" w:line="240" w:lineRule="auto"/>
            </w:pPr>
            <w:r>
              <w:t>HHS</w:t>
            </w:r>
            <w:r w:rsidR="00E56FFD" w:rsidRPr="003C06A5">
              <w:t xml:space="preserve"> receive</w:t>
            </w:r>
            <w:r w:rsidR="00EB0ECF" w:rsidRPr="003C06A5">
              <w:t>d</w:t>
            </w:r>
            <w:r w:rsidR="004019AD" w:rsidRPr="003C06A5">
              <w:t xml:space="preserve"> a “</w:t>
            </w:r>
            <w:r w:rsidR="00861CD2">
              <w:t>C</w:t>
            </w:r>
            <w:r w:rsidR="00BA77BF" w:rsidRPr="003C06A5">
              <w:t>” in this area because it did not plan to establish a</w:t>
            </w:r>
            <w:r w:rsidR="00861CD2">
              <w:t>n</w:t>
            </w:r>
            <w:r w:rsidR="00BA77BF" w:rsidRPr="003C06A5">
              <w:t xml:space="preserve"> </w:t>
            </w:r>
            <w:r w:rsidR="00861CD2">
              <w:t xml:space="preserve">MGT-specific </w:t>
            </w:r>
            <w:r w:rsidR="003811F5">
              <w:t>working capital fund, but it did have an alternate means of funding IT efforts.</w:t>
            </w:r>
          </w:p>
          <w:p w:rsidR="003811F5" w:rsidRPr="003C06A5" w:rsidRDefault="003811F5" w:rsidP="003811F5">
            <w:pPr>
              <w:spacing w:after="120" w:line="240" w:lineRule="auto"/>
            </w:pPr>
            <w:r>
              <w:t>However, as of November 30, 2018, the committee had not received a response to their latest request on the status of HHS’s MGT efforts.</w:t>
            </w:r>
          </w:p>
        </w:tc>
      </w:tr>
      <w:tr w:rsidR="003E302F" w:rsidTr="002153FF">
        <w:trPr>
          <w:cantSplit/>
        </w:trPr>
        <w:tc>
          <w:tcPr>
            <w:tcW w:w="4968" w:type="dxa"/>
            <w:shd w:val="clear" w:color="auto" w:fill="auto"/>
          </w:tcPr>
          <w:p w:rsidR="003E302F" w:rsidRPr="00463693" w:rsidRDefault="004019AD" w:rsidP="00963AAF">
            <w:pPr>
              <w:pStyle w:val="Heading2"/>
              <w:spacing w:before="0" w:after="120" w:line="240" w:lineRule="auto"/>
            </w:pPr>
            <w:r>
              <w:t>Cybersecurity</w:t>
            </w:r>
          </w:p>
        </w:tc>
        <w:tc>
          <w:tcPr>
            <w:tcW w:w="4968" w:type="dxa"/>
            <w:shd w:val="clear" w:color="auto" w:fill="auto"/>
          </w:tcPr>
          <w:p w:rsidR="003E302F" w:rsidRPr="003C06A5" w:rsidRDefault="001C287E" w:rsidP="00557CAA">
            <w:pPr>
              <w:pStyle w:val="Heading2"/>
              <w:spacing w:before="0" w:after="120" w:line="240" w:lineRule="auto"/>
            </w:pPr>
            <w:r>
              <w:t>HHS</w:t>
            </w:r>
            <w:r w:rsidR="003E302F" w:rsidRPr="003C06A5">
              <w:t>’s Grade:</w:t>
            </w:r>
            <w:r w:rsidR="0081203A" w:rsidRPr="003C06A5">
              <w:t xml:space="preserve"> </w:t>
            </w:r>
            <w:r w:rsidR="00557CAA">
              <w:t>F</w:t>
            </w:r>
            <w:r w:rsidR="00BA77BF" w:rsidRPr="003C06A5">
              <w:t xml:space="preserve"> (previewed)</w:t>
            </w:r>
          </w:p>
        </w:tc>
      </w:tr>
      <w:tr w:rsidR="003E302F" w:rsidTr="002153FF">
        <w:trPr>
          <w:cantSplit/>
        </w:trPr>
        <w:tc>
          <w:tcPr>
            <w:tcW w:w="4968" w:type="dxa"/>
            <w:shd w:val="clear" w:color="auto" w:fill="auto"/>
          </w:tcPr>
          <w:p w:rsidR="004019AD" w:rsidRDefault="00E161EB" w:rsidP="00963AAF">
            <w:pPr>
              <w:pStyle w:val="BodyText"/>
              <w:spacing w:line="240" w:lineRule="auto"/>
            </w:pPr>
            <w:r>
              <w:t xml:space="preserve">Among other things, </w:t>
            </w:r>
            <w:r w:rsidR="004019AD">
              <w:t xml:space="preserve">FISMA is intended </w:t>
            </w:r>
            <w:r w:rsidR="004019AD" w:rsidRPr="00A630CA">
              <w:t xml:space="preserve">to </w:t>
            </w:r>
            <w:r w:rsidR="004019AD">
              <w:t>improve</w:t>
            </w:r>
            <w:r w:rsidR="004019AD" w:rsidRPr="00A630CA">
              <w:t xml:space="preserve"> oversight of federal agencies’ information security programs. </w:t>
            </w:r>
            <w:r w:rsidR="004019AD">
              <w:t xml:space="preserve">In particular, it requires Inspectors General to </w:t>
            </w:r>
            <w:r>
              <w:t>conduct independent annual</w:t>
            </w:r>
            <w:r w:rsidR="004019AD">
              <w:t xml:space="preserve"> a</w:t>
            </w:r>
            <w:r w:rsidR="004019AD" w:rsidRPr="004019AD">
              <w:t>ssess</w:t>
            </w:r>
            <w:r>
              <w:t xml:space="preserve">ments of </w:t>
            </w:r>
            <w:r w:rsidR="004019AD" w:rsidRPr="004019AD">
              <w:t>the</w:t>
            </w:r>
            <w:r>
              <w:t>ir</w:t>
            </w:r>
            <w:r w:rsidR="004019AD" w:rsidRPr="004019AD">
              <w:t xml:space="preserve"> parent agency’s information security practices.</w:t>
            </w:r>
            <w:r>
              <w:t xml:space="preserve"> The inspectors general rate their respective agencies</w:t>
            </w:r>
            <w:r w:rsidR="0028508A">
              <w:t xml:space="preserve"> in 5 NIST cybersecurity areas (</w:t>
            </w:r>
            <w:r>
              <w:t>Identify, Pr</w:t>
            </w:r>
            <w:r w:rsidR="0028508A">
              <w:t>otect, Detect, Respond, and Recover) using the following maturity levels:</w:t>
            </w:r>
          </w:p>
          <w:p w:rsidR="0028508A" w:rsidRDefault="0028508A" w:rsidP="00963AAF">
            <w:pPr>
              <w:pStyle w:val="ListParagraph"/>
              <w:numPr>
                <w:ilvl w:val="0"/>
                <w:numId w:val="13"/>
              </w:numPr>
              <w:spacing w:after="120" w:line="240" w:lineRule="auto"/>
            </w:pPr>
            <w:r>
              <w:t>Ad-hoc</w:t>
            </w:r>
          </w:p>
          <w:p w:rsidR="0028508A" w:rsidRDefault="0028508A" w:rsidP="00963AAF">
            <w:pPr>
              <w:pStyle w:val="ListParagraph"/>
              <w:numPr>
                <w:ilvl w:val="0"/>
                <w:numId w:val="13"/>
              </w:numPr>
              <w:spacing w:after="120" w:line="240" w:lineRule="auto"/>
            </w:pPr>
            <w:r>
              <w:t>Defined</w:t>
            </w:r>
          </w:p>
          <w:p w:rsidR="0028508A" w:rsidRDefault="0028508A" w:rsidP="00963AAF">
            <w:pPr>
              <w:pStyle w:val="ListParagraph"/>
              <w:numPr>
                <w:ilvl w:val="0"/>
                <w:numId w:val="13"/>
              </w:numPr>
              <w:spacing w:after="120" w:line="240" w:lineRule="auto"/>
            </w:pPr>
            <w:r>
              <w:t>Consistently Impemented</w:t>
            </w:r>
          </w:p>
          <w:p w:rsidR="0028508A" w:rsidRDefault="0028508A" w:rsidP="00963AAF">
            <w:pPr>
              <w:pStyle w:val="ListParagraph"/>
              <w:numPr>
                <w:ilvl w:val="0"/>
                <w:numId w:val="13"/>
              </w:numPr>
              <w:spacing w:after="120" w:line="240" w:lineRule="auto"/>
            </w:pPr>
            <w:r>
              <w:t>Managed and Measurable</w:t>
            </w:r>
          </w:p>
          <w:p w:rsidR="0028508A" w:rsidRDefault="0028508A" w:rsidP="00963AAF">
            <w:pPr>
              <w:pStyle w:val="ListParagraph"/>
              <w:numPr>
                <w:ilvl w:val="0"/>
                <w:numId w:val="13"/>
              </w:numPr>
              <w:spacing w:after="120" w:line="240" w:lineRule="auto"/>
            </w:pPr>
            <w:r>
              <w:t xml:space="preserve">Optimized </w:t>
            </w:r>
          </w:p>
          <w:p w:rsidR="003E302F" w:rsidRDefault="004019AD" w:rsidP="00963AAF">
            <w:pPr>
              <w:spacing w:after="120" w:line="240" w:lineRule="auto"/>
            </w:pPr>
            <w:r>
              <w:t xml:space="preserve">In addition, </w:t>
            </w:r>
            <w:r w:rsidRPr="004019AD">
              <w:t>in March 2018, the Administration issued the President’s Management Agenda</w:t>
            </w:r>
            <w:r>
              <w:t xml:space="preserve">, which included a set of </w:t>
            </w:r>
            <w:r w:rsidRPr="004019AD">
              <w:t>Cross-</w:t>
            </w:r>
            <w:r w:rsidR="0081203A">
              <w:t>Agency</w:t>
            </w:r>
            <w:r w:rsidRPr="004019AD">
              <w:t xml:space="preserve"> Priority</w:t>
            </w:r>
            <w:r>
              <w:t xml:space="preserve"> (CAP) </w:t>
            </w:r>
            <w:r w:rsidRPr="004019AD">
              <w:t>goal</w:t>
            </w:r>
            <w:r>
              <w:t xml:space="preserve">s. Consequently, </w:t>
            </w:r>
            <w:r w:rsidRPr="004019AD">
              <w:t>OMB requires agencies to submi</w:t>
            </w:r>
            <w:r>
              <w:t xml:space="preserve">t </w:t>
            </w:r>
            <w:r w:rsidR="00E161EB">
              <w:t xml:space="preserve">10 </w:t>
            </w:r>
            <w:proofErr w:type="gramStart"/>
            <w:r w:rsidR="00E161EB">
              <w:t xml:space="preserve">associated </w:t>
            </w:r>
            <w:r>
              <w:t xml:space="preserve"> cybersecurity</w:t>
            </w:r>
            <w:proofErr w:type="gramEnd"/>
            <w:r>
              <w:t xml:space="preserve"> metrics.</w:t>
            </w:r>
          </w:p>
          <w:p w:rsidR="004019AD" w:rsidRPr="00463693" w:rsidRDefault="004019AD" w:rsidP="00963AAF">
            <w:pPr>
              <w:spacing w:after="120" w:line="240" w:lineRule="auto"/>
            </w:pPr>
            <w:r w:rsidRPr="004019AD">
              <w:t>The Inspector</w:t>
            </w:r>
            <w:r w:rsidR="00B34B4A">
              <w:t>s</w:t>
            </w:r>
            <w:r w:rsidRPr="004019AD">
              <w:t xml:space="preserve"> General (IG) </w:t>
            </w:r>
            <w:r w:rsidR="00E161EB">
              <w:t>rating</w:t>
            </w:r>
            <w:r w:rsidR="00B34B4A">
              <w:t xml:space="preserve">s were averaged and </w:t>
            </w:r>
            <w:r w:rsidRPr="004019AD">
              <w:t xml:space="preserve">combined with the </w:t>
            </w:r>
            <w:r w:rsidR="00E161EB">
              <w:t xml:space="preserve">percentage of </w:t>
            </w:r>
            <w:r w:rsidRPr="004019AD">
              <w:t xml:space="preserve">cybersecurity </w:t>
            </w:r>
            <w:r w:rsidR="00E161EB">
              <w:t xml:space="preserve">metrics </w:t>
            </w:r>
            <w:r w:rsidRPr="004019AD">
              <w:t>met by the agency.</w:t>
            </w:r>
          </w:p>
        </w:tc>
        <w:tc>
          <w:tcPr>
            <w:tcW w:w="4968" w:type="dxa"/>
            <w:shd w:val="clear" w:color="auto" w:fill="auto"/>
          </w:tcPr>
          <w:p w:rsidR="00BA77BF" w:rsidRPr="003C06A5" w:rsidRDefault="00BA77BF" w:rsidP="00BA77BF">
            <w:pPr>
              <w:spacing w:before="100" w:beforeAutospacing="1" w:after="120" w:line="240" w:lineRule="auto"/>
            </w:pPr>
            <w:r w:rsidRPr="003C06A5">
              <w:t xml:space="preserve">The IG of </w:t>
            </w:r>
            <w:r w:rsidR="001C287E">
              <w:t>HHS</w:t>
            </w:r>
            <w:r w:rsidRPr="003C06A5">
              <w:t xml:space="preserve"> made the following FISMA assessments:</w:t>
            </w:r>
          </w:p>
          <w:p w:rsidR="00BA77BF" w:rsidRPr="003C06A5" w:rsidRDefault="00BA77BF" w:rsidP="00BA77BF">
            <w:pPr>
              <w:numPr>
                <w:ilvl w:val="0"/>
                <w:numId w:val="12"/>
              </w:numPr>
              <w:spacing w:before="100" w:beforeAutospacing="1" w:after="120" w:line="240" w:lineRule="auto"/>
              <w:contextualSpacing/>
            </w:pPr>
            <w:r w:rsidRPr="003C06A5">
              <w:t>Identify – Defined (</w:t>
            </w:r>
            <w:r w:rsidR="003811F5">
              <w:t>3</w:t>
            </w:r>
            <w:r w:rsidRPr="003C06A5">
              <w:t>),</w:t>
            </w:r>
          </w:p>
          <w:p w:rsidR="00BA77BF" w:rsidRPr="003C06A5" w:rsidRDefault="00BA77BF" w:rsidP="00BA77BF">
            <w:pPr>
              <w:numPr>
                <w:ilvl w:val="0"/>
                <w:numId w:val="12"/>
              </w:numPr>
              <w:spacing w:before="100" w:beforeAutospacing="1" w:after="120" w:line="240" w:lineRule="auto"/>
              <w:contextualSpacing/>
            </w:pPr>
            <w:r w:rsidRPr="003C06A5">
              <w:t>Protect – Defined (</w:t>
            </w:r>
            <w:r w:rsidR="003811F5">
              <w:t>3</w:t>
            </w:r>
            <w:r w:rsidRPr="003C06A5">
              <w:t>),</w:t>
            </w:r>
          </w:p>
          <w:p w:rsidR="00BA77BF" w:rsidRPr="003C06A5" w:rsidRDefault="00BA77BF" w:rsidP="00BA77BF">
            <w:pPr>
              <w:numPr>
                <w:ilvl w:val="0"/>
                <w:numId w:val="12"/>
              </w:numPr>
              <w:spacing w:before="100" w:beforeAutospacing="1" w:after="120" w:line="240" w:lineRule="auto"/>
              <w:contextualSpacing/>
            </w:pPr>
            <w:r w:rsidRPr="003C06A5">
              <w:t>Detect – Defined (</w:t>
            </w:r>
            <w:r w:rsidR="003C06A5" w:rsidRPr="003C06A5">
              <w:t>2</w:t>
            </w:r>
            <w:r w:rsidRPr="003C06A5">
              <w:t>),</w:t>
            </w:r>
          </w:p>
          <w:p w:rsidR="00BA77BF" w:rsidRPr="003C06A5" w:rsidRDefault="00BA77BF" w:rsidP="00BA77BF">
            <w:pPr>
              <w:numPr>
                <w:ilvl w:val="0"/>
                <w:numId w:val="12"/>
              </w:numPr>
              <w:spacing w:before="100" w:beforeAutospacing="1" w:after="120" w:line="240" w:lineRule="auto"/>
              <w:contextualSpacing/>
            </w:pPr>
            <w:r w:rsidRPr="003C06A5">
              <w:t>Respond – Defined (</w:t>
            </w:r>
            <w:r w:rsidR="00861CD2">
              <w:t>2</w:t>
            </w:r>
            <w:r w:rsidRPr="003C06A5">
              <w:t>), and</w:t>
            </w:r>
          </w:p>
          <w:p w:rsidR="00BA77BF" w:rsidRPr="003C06A5" w:rsidRDefault="00BA77BF" w:rsidP="00BA77BF">
            <w:pPr>
              <w:numPr>
                <w:ilvl w:val="0"/>
                <w:numId w:val="12"/>
              </w:numPr>
              <w:spacing w:before="100" w:beforeAutospacing="1" w:after="120" w:line="240" w:lineRule="auto"/>
              <w:contextualSpacing/>
            </w:pPr>
            <w:r w:rsidRPr="003C06A5">
              <w:t>Recover – Defined (</w:t>
            </w:r>
            <w:r w:rsidR="003811F5">
              <w:t>2</w:t>
            </w:r>
            <w:r w:rsidRPr="003C06A5">
              <w:t>).</w:t>
            </w:r>
          </w:p>
          <w:p w:rsidR="00BA77BF" w:rsidRPr="003C06A5" w:rsidRDefault="00BA77BF" w:rsidP="00BA77BF">
            <w:pPr>
              <w:spacing w:before="100" w:beforeAutospacing="1" w:after="120" w:line="240" w:lineRule="auto"/>
            </w:pPr>
            <w:r w:rsidRPr="003C06A5">
              <w:t xml:space="preserve">The average of those levels is a </w:t>
            </w:r>
            <w:r w:rsidR="00861CD2">
              <w:t>2.</w:t>
            </w:r>
            <w:r w:rsidR="003811F5">
              <w:t>4</w:t>
            </w:r>
            <w:r w:rsidRPr="003C06A5">
              <w:t>, out of a possible of 5 (</w:t>
            </w:r>
            <w:r w:rsidR="003811F5">
              <w:t>48</w:t>
            </w:r>
            <w:r w:rsidRPr="003C06A5">
              <w:t>%), which would be an “</w:t>
            </w:r>
            <w:r w:rsidR="00861CD2">
              <w:t>F</w:t>
            </w:r>
            <w:r w:rsidRPr="003C06A5">
              <w:t>.”</w:t>
            </w:r>
          </w:p>
          <w:p w:rsidR="00BA77BF" w:rsidRPr="003C06A5" w:rsidRDefault="00BA77BF" w:rsidP="00BA77BF">
            <w:pPr>
              <w:spacing w:before="100" w:beforeAutospacing="1" w:after="120" w:line="240" w:lineRule="auto"/>
            </w:pPr>
            <w:r w:rsidRPr="003C06A5">
              <w:t xml:space="preserve">Additionally, </w:t>
            </w:r>
            <w:r w:rsidR="001C287E">
              <w:t>HHS</w:t>
            </w:r>
            <w:r w:rsidRPr="003C06A5">
              <w:t xml:space="preserve"> has met </w:t>
            </w:r>
            <w:r w:rsidR="003811F5">
              <w:t>4</w:t>
            </w:r>
            <w:r w:rsidR="003C06A5">
              <w:t xml:space="preserve"> </w:t>
            </w:r>
            <w:r w:rsidRPr="003C06A5">
              <w:t xml:space="preserve">of </w:t>
            </w:r>
            <w:r w:rsidR="003811F5">
              <w:t>OMB’s 10</w:t>
            </w:r>
            <w:r w:rsidRPr="003C06A5">
              <w:t xml:space="preserve"> CAP goals (</w:t>
            </w:r>
            <w:r w:rsidR="003811F5">
              <w:t>4</w:t>
            </w:r>
            <w:r w:rsidR="003C06A5" w:rsidRPr="003C06A5">
              <w:t>0</w:t>
            </w:r>
            <w:r w:rsidR="00861CD2">
              <w:t>%), which would be a</w:t>
            </w:r>
            <w:r w:rsidR="003811F5">
              <w:t>nother</w:t>
            </w:r>
            <w:r w:rsidRPr="003C06A5">
              <w:t xml:space="preserve"> “</w:t>
            </w:r>
            <w:r w:rsidR="003811F5">
              <w:t>F</w:t>
            </w:r>
            <w:r w:rsidRPr="003C06A5">
              <w:t>.”</w:t>
            </w:r>
          </w:p>
          <w:p w:rsidR="003811F5" w:rsidRDefault="00BA77BF" w:rsidP="003811F5">
            <w:pPr>
              <w:spacing w:after="120" w:line="240" w:lineRule="auto"/>
              <w:rPr>
                <w:rFonts w:eastAsiaTheme="minorEastAsia"/>
              </w:rPr>
            </w:pPr>
            <w:r w:rsidRPr="003C06A5">
              <w:t>Those two grades average to a “</w:t>
            </w:r>
            <w:r w:rsidR="003811F5">
              <w:t>F</w:t>
            </w:r>
            <w:r w:rsidR="00861CD2">
              <w:t>.</w:t>
            </w:r>
            <w:r w:rsidRPr="003C06A5">
              <w:t>”</w:t>
            </w:r>
            <w:r w:rsidR="00861CD2" w:rsidRPr="00C84AD0">
              <w:t xml:space="preserve"> To raise its grade to a “</w:t>
            </w:r>
            <w:r w:rsidR="003811F5">
              <w:t>D</w:t>
            </w:r>
            <w:r w:rsidR="00861CD2" w:rsidRPr="00C84AD0">
              <w:t xml:space="preserve">,” </w:t>
            </w:r>
            <w:r w:rsidR="001C287E">
              <w:t>HHS</w:t>
            </w:r>
            <w:r w:rsidR="00861CD2" w:rsidRPr="00C84AD0">
              <w:t xml:space="preserve"> </w:t>
            </w:r>
            <w:r w:rsidR="00CD1010">
              <w:t>needs to</w:t>
            </w:r>
            <w:r w:rsidR="00CD1010">
              <w:rPr>
                <w:rFonts w:eastAsiaTheme="minorEastAsia"/>
              </w:rPr>
              <w:t xml:space="preserve"> </w:t>
            </w:r>
            <w:r w:rsidR="003811F5">
              <w:rPr>
                <w:rFonts w:eastAsiaTheme="minorEastAsia"/>
              </w:rPr>
              <w:t>either:</w:t>
            </w:r>
          </w:p>
          <w:p w:rsidR="003811F5" w:rsidRPr="003811F5" w:rsidRDefault="00CD1010" w:rsidP="003811F5">
            <w:pPr>
              <w:pStyle w:val="ListParagraph"/>
              <w:numPr>
                <w:ilvl w:val="0"/>
                <w:numId w:val="14"/>
              </w:numPr>
              <w:spacing w:after="120" w:line="240" w:lineRule="auto"/>
            </w:pPr>
            <w:r w:rsidRPr="003811F5">
              <w:rPr>
                <w:rFonts w:eastAsiaTheme="minorEastAsia"/>
              </w:rPr>
              <w:t>r</w:t>
            </w:r>
            <w:r w:rsidR="003811F5" w:rsidRPr="003811F5">
              <w:rPr>
                <w:rFonts w:eastAsiaTheme="minorEastAsia"/>
              </w:rPr>
              <w:t>aise its average IG rating above</w:t>
            </w:r>
            <w:r w:rsidR="00861CD2" w:rsidRPr="003811F5">
              <w:rPr>
                <w:rFonts w:eastAsiaTheme="minorEastAsia"/>
              </w:rPr>
              <w:t xml:space="preserve"> a 3</w:t>
            </w:r>
            <w:r w:rsidR="003811F5" w:rsidRPr="003811F5">
              <w:rPr>
                <w:rFonts w:eastAsiaTheme="minorEastAsia"/>
              </w:rPr>
              <w:t>.0</w:t>
            </w:r>
            <w:r w:rsidR="003811F5">
              <w:rPr>
                <w:rFonts w:eastAsiaTheme="minorEastAsia"/>
              </w:rPr>
              <w:t xml:space="preserve"> (a total of 3 levels across the </w:t>
            </w:r>
            <w:r w:rsidR="00F75D32">
              <w:rPr>
                <w:rFonts w:eastAsiaTheme="minorEastAsia"/>
              </w:rPr>
              <w:t>areas</w:t>
            </w:r>
            <w:r w:rsidR="003811F5">
              <w:rPr>
                <w:rFonts w:eastAsiaTheme="minorEastAsia"/>
              </w:rPr>
              <w:t>) or</w:t>
            </w:r>
          </w:p>
          <w:p w:rsidR="00861CD2" w:rsidRPr="003C06A5" w:rsidRDefault="00F75D32" w:rsidP="003811F5">
            <w:pPr>
              <w:pStyle w:val="ListParagraph"/>
              <w:numPr>
                <w:ilvl w:val="0"/>
                <w:numId w:val="14"/>
              </w:numPr>
              <w:spacing w:after="120" w:line="240" w:lineRule="auto"/>
            </w:pPr>
            <w:proofErr w:type="gramStart"/>
            <w:r>
              <w:rPr>
                <w:rFonts w:eastAsiaTheme="minorEastAsia"/>
              </w:rPr>
              <w:t>meet</w:t>
            </w:r>
            <w:proofErr w:type="gramEnd"/>
            <w:r>
              <w:rPr>
                <w:rFonts w:eastAsiaTheme="minorEastAsia"/>
              </w:rPr>
              <w:t xml:space="preserve"> 2 more CAP goals</w:t>
            </w:r>
            <w:r w:rsidR="00861CD2" w:rsidRPr="003811F5">
              <w:rPr>
                <w:rFonts w:eastAsiaTheme="minorEastAsia"/>
              </w:rPr>
              <w:t>.</w:t>
            </w:r>
          </w:p>
        </w:tc>
      </w:tr>
      <w:tr w:rsidR="00307E70" w:rsidTr="00AF1929">
        <w:trPr>
          <w:cantSplit/>
        </w:trPr>
        <w:tc>
          <w:tcPr>
            <w:tcW w:w="4968" w:type="dxa"/>
          </w:tcPr>
          <w:p w:rsidR="00307E70" w:rsidRPr="00B9322E" w:rsidRDefault="00307E70" w:rsidP="00963AAF">
            <w:pPr>
              <w:pStyle w:val="Heading2"/>
              <w:spacing w:before="0" w:after="120" w:line="240" w:lineRule="auto"/>
            </w:pPr>
            <w:r w:rsidRPr="00B9322E">
              <w:lastRenderedPageBreak/>
              <w:t xml:space="preserve">CIO </w:t>
            </w:r>
            <w:r w:rsidR="00E561EE" w:rsidRPr="00B9322E">
              <w:t>Authorities</w:t>
            </w:r>
          </w:p>
        </w:tc>
        <w:tc>
          <w:tcPr>
            <w:tcW w:w="4968" w:type="dxa"/>
          </w:tcPr>
          <w:p w:rsidR="00307E70" w:rsidRPr="003C06A5" w:rsidRDefault="001C287E" w:rsidP="0081203A">
            <w:pPr>
              <w:pStyle w:val="Heading2"/>
              <w:spacing w:before="0" w:after="120" w:line="240" w:lineRule="auto"/>
            </w:pPr>
            <w:r>
              <w:t>HHS</w:t>
            </w:r>
            <w:r w:rsidR="00DF34BC" w:rsidRPr="003C06A5">
              <w:t xml:space="preserve"> </w:t>
            </w:r>
            <w:r w:rsidR="00307E70" w:rsidRPr="003C06A5">
              <w:t>Grade</w:t>
            </w:r>
            <w:r w:rsidR="00405E16" w:rsidRPr="003C06A5">
              <w:t xml:space="preserve"> addendum</w:t>
            </w:r>
            <w:r w:rsidR="00A93A5B" w:rsidRPr="003C06A5">
              <w:t xml:space="preserve">: </w:t>
            </w:r>
            <w:r w:rsidR="001D61FF" w:rsidRPr="003C06A5">
              <w:t>“</w:t>
            </w:r>
            <w:r w:rsidR="0081203A" w:rsidRPr="003C06A5">
              <w:t>+</w:t>
            </w:r>
            <w:r w:rsidR="001D61FF" w:rsidRPr="003C06A5">
              <w:t>”</w:t>
            </w:r>
          </w:p>
        </w:tc>
      </w:tr>
      <w:tr w:rsidR="00157867" w:rsidTr="00AF1929">
        <w:trPr>
          <w:cantSplit/>
        </w:trPr>
        <w:tc>
          <w:tcPr>
            <w:tcW w:w="4968" w:type="dxa"/>
          </w:tcPr>
          <w:p w:rsidR="00157867" w:rsidRPr="006A6329" w:rsidRDefault="00157867" w:rsidP="00901A2F">
            <w:pPr>
              <w:spacing w:before="100" w:beforeAutospacing="1" w:after="120" w:line="240" w:lineRule="auto"/>
              <w:rPr>
                <w:szCs w:val="24"/>
              </w:rPr>
            </w:pPr>
            <w:r w:rsidRPr="006A6329">
              <w:rPr>
                <w:szCs w:val="24"/>
              </w:rPr>
              <w:t xml:space="preserve">Among other things, FITARA set out to ensure that federal Chief Information Officers (CIO) had a significant role in agencies’ IT decisions. However, the committee has heard that, in many cases, these CIOs do not report to the head of their agency. Given the history of federal IT failures, the Committee is concerned that CIOs are not adequately empowered. </w:t>
            </w:r>
          </w:p>
          <w:p w:rsidR="00157867" w:rsidRDefault="00157867" w:rsidP="00901A2F">
            <w:pPr>
              <w:spacing w:before="100" w:beforeAutospacing="1" w:after="120" w:line="240" w:lineRule="auto"/>
              <w:rPr>
                <w:szCs w:val="24"/>
              </w:rPr>
            </w:pPr>
            <w:r w:rsidRPr="006A6329">
              <w:rPr>
                <w:szCs w:val="24"/>
              </w:rPr>
              <w:t>This calculation rewards agencies with a “+” when the CIO reports to the Secretary or Deputy Secretary and. Conversely, agencies with CIOs that don’t report to leadership are penalized with a “-.”</w:t>
            </w:r>
          </w:p>
          <w:p w:rsidR="00157867" w:rsidRPr="006A6329" w:rsidRDefault="00B422D0" w:rsidP="008D75B6">
            <w:pPr>
              <w:spacing w:before="100" w:beforeAutospacing="1" w:after="120" w:line="240" w:lineRule="auto"/>
              <w:rPr>
                <w:szCs w:val="24"/>
              </w:rPr>
            </w:pPr>
            <w:r w:rsidRPr="00B422D0">
              <w:t xml:space="preserve">This scorecard also lowers the overall grade of agencies </w:t>
            </w:r>
            <w:proofErr w:type="gramStart"/>
            <w:r w:rsidRPr="00B422D0">
              <w:t>whose</w:t>
            </w:r>
            <w:proofErr w:type="gramEnd"/>
            <w:r w:rsidRPr="00B422D0">
              <w:t xml:space="preserve"> CIO doesn’t report to the agency head or deputy.</w:t>
            </w:r>
          </w:p>
        </w:tc>
        <w:tc>
          <w:tcPr>
            <w:tcW w:w="4968" w:type="dxa"/>
          </w:tcPr>
          <w:p w:rsidR="00157867" w:rsidRPr="003C06A5" w:rsidRDefault="001C287E" w:rsidP="00F75D32">
            <w:pPr>
              <w:spacing w:after="120" w:line="240" w:lineRule="auto"/>
            </w:pPr>
            <w:r>
              <w:t>HHS</w:t>
            </w:r>
            <w:r w:rsidR="00157867" w:rsidRPr="003C06A5">
              <w:t xml:space="preserve">’s website shows that the </w:t>
            </w:r>
            <w:r w:rsidR="00F75D32">
              <w:t xml:space="preserve">acting </w:t>
            </w:r>
            <w:r w:rsidR="00157867" w:rsidRPr="003C06A5">
              <w:t>CIO</w:t>
            </w:r>
            <w:r w:rsidR="003C06A5" w:rsidRPr="003C06A5">
              <w:t xml:space="preserve"> </w:t>
            </w:r>
            <w:r w:rsidR="00157867" w:rsidRPr="003C06A5">
              <w:t xml:space="preserve">reports to the </w:t>
            </w:r>
            <w:r w:rsidR="003C06A5" w:rsidRPr="003C06A5">
              <w:t xml:space="preserve">Deputy or </w:t>
            </w:r>
            <w:r w:rsidR="00157867" w:rsidRPr="003C06A5">
              <w:t>Secretary.</w:t>
            </w:r>
            <w:r w:rsidR="00157867" w:rsidRPr="003C06A5">
              <w:rPr>
                <w:rStyle w:val="FootnoteReference"/>
              </w:rPr>
              <w:footnoteReference w:id="10"/>
            </w:r>
            <w:r w:rsidR="00157867" w:rsidRPr="003C06A5">
              <w:t xml:space="preserve"> Consequently, a “+”was appended to the overall grade.</w:t>
            </w:r>
          </w:p>
        </w:tc>
      </w:tr>
    </w:tbl>
    <w:p w:rsidR="00AF1929" w:rsidRDefault="00AF1929" w:rsidP="00AF1929"/>
    <w:p w:rsidR="00DD6D6B" w:rsidRDefault="00DD6D6B" w:rsidP="00AF1929"/>
    <w:sectPr w:rsidR="00DD6D6B" w:rsidSect="00C62D77">
      <w:headerReference w:type="default" r:id="rId9"/>
      <w:footerReference w:type="default" r:id="rId10"/>
      <w:pgSz w:w="12240" w:h="15840"/>
      <w:pgMar w:top="1080" w:right="144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3EB" w:rsidRDefault="004653EB" w:rsidP="005B7142">
      <w:pPr>
        <w:spacing w:after="0" w:line="240" w:lineRule="auto"/>
      </w:pPr>
      <w:r>
        <w:separator/>
      </w:r>
    </w:p>
  </w:endnote>
  <w:endnote w:type="continuationSeparator" w:id="0">
    <w:p w:rsidR="004653EB" w:rsidRDefault="004653EB" w:rsidP="005B7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6110748"/>
      <w:docPartObj>
        <w:docPartGallery w:val="Page Numbers (Bottom of Page)"/>
        <w:docPartUnique/>
      </w:docPartObj>
    </w:sdtPr>
    <w:sdtEndPr>
      <w:rPr>
        <w:noProof/>
      </w:rPr>
    </w:sdtEndPr>
    <w:sdtContent>
      <w:p w:rsidR="00CC7A80" w:rsidRDefault="00CC7A80">
        <w:pPr>
          <w:pStyle w:val="Footer"/>
          <w:jc w:val="right"/>
        </w:pPr>
        <w:r>
          <w:fldChar w:fldCharType="begin"/>
        </w:r>
        <w:r>
          <w:instrText xml:space="preserve"> PAGE   \* MERGEFORMAT </w:instrText>
        </w:r>
        <w:r>
          <w:fldChar w:fldCharType="separate"/>
        </w:r>
        <w:r w:rsidR="008859B8">
          <w:rPr>
            <w:noProof/>
          </w:rPr>
          <w:t>5</w:t>
        </w:r>
        <w:r>
          <w:rPr>
            <w:noProof/>
          </w:rPr>
          <w:fldChar w:fldCharType="end"/>
        </w:r>
      </w:p>
    </w:sdtContent>
  </w:sdt>
  <w:p w:rsidR="00CC7A80" w:rsidRDefault="00CC7A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3EB" w:rsidRDefault="004653EB" w:rsidP="005B7142">
      <w:pPr>
        <w:spacing w:after="0" w:line="240" w:lineRule="auto"/>
      </w:pPr>
      <w:r>
        <w:separator/>
      </w:r>
    </w:p>
  </w:footnote>
  <w:footnote w:type="continuationSeparator" w:id="0">
    <w:p w:rsidR="004653EB" w:rsidRDefault="004653EB" w:rsidP="005B7142">
      <w:pPr>
        <w:spacing w:after="0" w:line="240" w:lineRule="auto"/>
      </w:pPr>
      <w:r>
        <w:continuationSeparator/>
      </w:r>
    </w:p>
  </w:footnote>
  <w:footnote w:id="1">
    <w:p w:rsidR="006F3C15" w:rsidRPr="008B2287" w:rsidRDefault="006F3C15" w:rsidP="006F3C15">
      <w:pPr>
        <w:pStyle w:val="FootnoteText"/>
      </w:pPr>
      <w:r w:rsidRPr="008B2287">
        <w:rPr>
          <w:rStyle w:val="FootnoteReference"/>
        </w:rPr>
        <w:footnoteRef/>
      </w:r>
      <w:r w:rsidRPr="008B2287">
        <w:t>Title VIII, Subtitle D of the National Defense Authorization Act for Fiscal Year 2015, Pub. L. No. 113-291.</w:t>
      </w:r>
    </w:p>
  </w:footnote>
  <w:footnote w:id="2">
    <w:p w:rsidR="006F3C15" w:rsidRDefault="006F3C15" w:rsidP="006F3C15">
      <w:pPr>
        <w:pStyle w:val="FootnoteText"/>
      </w:pPr>
      <w:r>
        <w:rPr>
          <w:rStyle w:val="FootnoteReference"/>
        </w:rPr>
        <w:footnoteRef/>
      </w:r>
      <w:proofErr w:type="gramStart"/>
      <w:r w:rsidRPr="00B9056B">
        <w:t>Pub.</w:t>
      </w:r>
      <w:proofErr w:type="gramEnd"/>
      <w:r w:rsidRPr="00B9056B">
        <w:t xml:space="preserve"> </w:t>
      </w:r>
      <w:proofErr w:type="gramStart"/>
      <w:r w:rsidRPr="00B9056B">
        <w:t>L. No. 114-210 (July 29, 2016); 130 Stat. 824.</w:t>
      </w:r>
      <w:proofErr w:type="gramEnd"/>
      <w:r>
        <w:t xml:space="preserve"> </w:t>
      </w:r>
    </w:p>
  </w:footnote>
  <w:footnote w:id="3">
    <w:p w:rsidR="006F3C15" w:rsidRDefault="006F3C15" w:rsidP="006F3C15">
      <w:pPr>
        <w:pStyle w:val="FootnoteText"/>
      </w:pPr>
      <w:r>
        <w:rPr>
          <w:rStyle w:val="FootnoteReference"/>
        </w:rPr>
        <w:footnoteRef/>
      </w:r>
      <w:proofErr w:type="gramStart"/>
      <w:r>
        <w:t>Title X, Subtitle G of the National Defense Authorization Act for Fiscal Year 2018, Pub.</w:t>
      </w:r>
      <w:proofErr w:type="gramEnd"/>
      <w:r>
        <w:t xml:space="preserve"> </w:t>
      </w:r>
      <w:proofErr w:type="gramStart"/>
      <w:r>
        <w:t>L. No. 115-91.</w:t>
      </w:r>
      <w:proofErr w:type="gramEnd"/>
    </w:p>
  </w:footnote>
  <w:footnote w:id="4">
    <w:p w:rsidR="006F3C15" w:rsidRDefault="006F3C15" w:rsidP="006F3C15">
      <w:pPr>
        <w:pStyle w:val="FootnoteText"/>
      </w:pPr>
      <w:r>
        <w:rPr>
          <w:rStyle w:val="FootnoteReference"/>
        </w:rPr>
        <w:footnoteRef/>
      </w:r>
      <w:proofErr w:type="gramStart"/>
      <w:r w:rsidRPr="008C7694">
        <w:t>The Federal Information Security Modernization Act of 2014 (FISMA 2014) (Pub.</w:t>
      </w:r>
      <w:proofErr w:type="gramEnd"/>
      <w:r w:rsidRPr="008C7694">
        <w:t xml:space="preserve"> L. No. 113-283, Dec. 18, 2014) partially superseded the Federal Information Security Management Act of 2002 (FISMA 2002), enacted as Title III, E-Government Act of 2002, Pub. L. No. 107-347, 116 Stat. 2899, 2946 (Dec. 17, 2002).</w:t>
      </w:r>
    </w:p>
  </w:footnote>
  <w:footnote w:id="5">
    <w:p w:rsidR="00317E9E" w:rsidRPr="00AF1929" w:rsidRDefault="00317E9E" w:rsidP="00AF1929">
      <w:pPr>
        <w:pStyle w:val="FootnoteText"/>
      </w:pPr>
      <w:r w:rsidRPr="00AF1929">
        <w:rPr>
          <w:rStyle w:val="FootnoteReference"/>
        </w:rPr>
        <w:footnoteRef/>
      </w:r>
      <w:proofErr w:type="gramStart"/>
      <w:r w:rsidRPr="00AF1929">
        <w:t xml:space="preserve">OMB, </w:t>
      </w:r>
      <w:r w:rsidRPr="00AF1929">
        <w:rPr>
          <w:i/>
        </w:rPr>
        <w:t>Guidance on Exhibits 53 and 300—Information Technology and E-Government</w:t>
      </w:r>
      <w:r w:rsidRPr="00AF1929">
        <w:t xml:space="preserve"> (2012).</w:t>
      </w:r>
      <w:proofErr w:type="gramEnd"/>
      <w:r w:rsidRPr="00AF1929">
        <w:t xml:space="preserve">  </w:t>
      </w:r>
    </w:p>
  </w:footnote>
  <w:footnote w:id="6">
    <w:p w:rsidR="00B46503" w:rsidRDefault="00B46503" w:rsidP="00B46503">
      <w:pPr>
        <w:pStyle w:val="FootnoteText"/>
        <w:rPr>
          <w:rFonts w:ascii="Times New Roman" w:hAnsi="Times New Roman"/>
        </w:rPr>
      </w:pPr>
      <w:r>
        <w:rPr>
          <w:rStyle w:val="FootnoteReference"/>
        </w:rPr>
        <w:footnoteRef/>
      </w:r>
      <w:proofErr w:type="gramStart"/>
      <w:r>
        <w:t>Federal Information Technology Reform provisions of the Carl Levin and Howard P. ‘Buck’ McKeon National Defense Authorization Act for Fiscal Year 2015, Pub.</w:t>
      </w:r>
      <w:proofErr w:type="gramEnd"/>
      <w:r>
        <w:t xml:space="preserve"> </w:t>
      </w:r>
      <w:proofErr w:type="gramStart"/>
      <w:r>
        <w:t>L. No. 113-291, div.</w:t>
      </w:r>
      <w:proofErr w:type="gramEnd"/>
      <w:r>
        <w:t xml:space="preserve"> A, title VIII, subtitle D § 832; 40 U.S.C. § 11302 (c</w:t>
      </w:r>
      <w:proofErr w:type="gramStart"/>
      <w:r>
        <w:t>)(</w:t>
      </w:r>
      <w:proofErr w:type="gramEnd"/>
      <w:r>
        <w:t>3)(C).</w:t>
      </w:r>
    </w:p>
  </w:footnote>
  <w:footnote w:id="7">
    <w:p w:rsidR="00B46503" w:rsidRDefault="00B46503" w:rsidP="00B46503">
      <w:pPr>
        <w:pStyle w:val="FootnoteText"/>
      </w:pPr>
      <w:r>
        <w:rPr>
          <w:rStyle w:val="FootnoteReference"/>
        </w:rPr>
        <w:footnoteRef/>
      </w:r>
      <w:proofErr w:type="gramStart"/>
      <w:r>
        <w:t>Pub.</w:t>
      </w:r>
      <w:proofErr w:type="gramEnd"/>
      <w:r>
        <w:t xml:space="preserve"> </w:t>
      </w:r>
      <w:proofErr w:type="gramStart"/>
      <w:r>
        <w:t>L. No. 113-291, div.</w:t>
      </w:r>
      <w:proofErr w:type="gramEnd"/>
      <w:r>
        <w:t xml:space="preserve"> A, title VIII, subtitle D § 832; 40 U.S.C. § 11302 (c</w:t>
      </w:r>
      <w:proofErr w:type="gramStart"/>
      <w:r>
        <w:t>)(</w:t>
      </w:r>
      <w:proofErr w:type="gramEnd"/>
      <w:r>
        <w:t>4).</w:t>
      </w:r>
    </w:p>
  </w:footnote>
  <w:footnote w:id="8">
    <w:p w:rsidR="00317E9E" w:rsidRPr="00AF1929" w:rsidRDefault="00317E9E" w:rsidP="00AF1929">
      <w:pPr>
        <w:pStyle w:val="FootnoteText"/>
      </w:pPr>
      <w:r w:rsidRPr="00AF1929">
        <w:rPr>
          <w:rStyle w:val="FootnoteReference"/>
        </w:rPr>
        <w:footnoteRef/>
      </w:r>
      <w:proofErr w:type="gramStart"/>
      <w:r w:rsidRPr="00AF1929">
        <w:t>Federal Information Technology Reform provisions of the Carl Levin and Howard P. ‘Buck’ McKeon National Defense Authorization Act for Fiscal Year 2015, Pub.</w:t>
      </w:r>
      <w:proofErr w:type="gramEnd"/>
      <w:r w:rsidRPr="00AF1929">
        <w:t xml:space="preserve"> </w:t>
      </w:r>
      <w:proofErr w:type="gramStart"/>
      <w:r w:rsidRPr="00AF1929">
        <w:t>L. No. 113-291, div.</w:t>
      </w:r>
      <w:proofErr w:type="gramEnd"/>
      <w:r w:rsidRPr="00AF1929">
        <w:t xml:space="preserve"> </w:t>
      </w:r>
      <w:proofErr w:type="gramStart"/>
      <w:r w:rsidRPr="00AF1929">
        <w:t xml:space="preserve">A, title VIII, subtitle D § 833; 40 U.S.C. § 11319 (c) (second </w:t>
      </w:r>
      <w:proofErr w:type="spellStart"/>
      <w:r w:rsidRPr="00AF1929">
        <w:t>subsecs</w:t>
      </w:r>
      <w:proofErr w:type="spellEnd"/>
      <w:r w:rsidRPr="00AF1929">
        <w:t>.</w:t>
      </w:r>
      <w:proofErr w:type="gramEnd"/>
      <w:r w:rsidRPr="00AF1929">
        <w:t xml:space="preserve"> (c)).</w:t>
      </w:r>
    </w:p>
  </w:footnote>
  <w:footnote w:id="9">
    <w:p w:rsidR="00AF1929" w:rsidRPr="00AF1929" w:rsidRDefault="00AF1929" w:rsidP="00AF1929">
      <w:pPr>
        <w:pStyle w:val="FootnoteText"/>
      </w:pPr>
      <w:r w:rsidRPr="00AF1929">
        <w:rPr>
          <w:rStyle w:val="FootnoteReference"/>
        </w:rPr>
        <w:footnoteRef/>
      </w:r>
      <w:proofErr w:type="gramStart"/>
      <w:r w:rsidRPr="00AF1929">
        <w:t>Federal Information Technology Reform provisions of the Carl Levin and Howard P. ‘Buck’ McKeon National Defense Authorization Act for Fiscal Year 2015, Pub.</w:t>
      </w:r>
      <w:proofErr w:type="gramEnd"/>
      <w:r w:rsidRPr="00AF1929">
        <w:t xml:space="preserve"> </w:t>
      </w:r>
      <w:proofErr w:type="gramStart"/>
      <w:r w:rsidRPr="00AF1929">
        <w:t>L. No. 113-291, div.</w:t>
      </w:r>
      <w:proofErr w:type="gramEnd"/>
      <w:r w:rsidRPr="00AF1929">
        <w:t xml:space="preserve"> </w:t>
      </w:r>
      <w:proofErr w:type="gramStart"/>
      <w:r w:rsidRPr="00AF1929">
        <w:t>A, title VIII, subtitle D § 834, 128 Stat. 3292, 3444-3448 (Dec. 19, 2014).</w:t>
      </w:r>
      <w:proofErr w:type="gramEnd"/>
    </w:p>
  </w:footnote>
  <w:footnote w:id="10">
    <w:p w:rsidR="00157867" w:rsidRPr="0080275A" w:rsidRDefault="00157867">
      <w:pPr>
        <w:pStyle w:val="FootnoteText"/>
      </w:pPr>
      <w:r w:rsidRPr="00B9322E">
        <w:rPr>
          <w:rStyle w:val="FootnoteReference"/>
        </w:rPr>
        <w:footnoteRef/>
      </w:r>
      <w:hyperlink r:id="rId1" w:history="1">
        <w:r w:rsidR="00F75D32" w:rsidRPr="00366B77">
          <w:rPr>
            <w:rStyle w:val="Hyperlink"/>
          </w:rPr>
          <w:t>https://www.hhs.gov/about/leadership/ed-simcox/index.html</w:t>
        </w:r>
      </w:hyperlink>
      <w:r w:rsidR="00F75D32">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3EB" w:rsidRDefault="004653EB" w:rsidP="00953BDD">
    <w:pPr>
      <w:pStyle w:val="Heading1"/>
      <w:spacing w:before="0" w:after="120"/>
    </w:pPr>
    <w:r>
      <w:t>OGR</w:t>
    </w:r>
    <w:r w:rsidR="004848B5">
      <w:t>’s</w:t>
    </w:r>
    <w:r>
      <w:t xml:space="preserve"> Biannual </w:t>
    </w:r>
    <w:r w:rsidR="00CC7A80">
      <w:t xml:space="preserve">FITARA </w:t>
    </w:r>
    <w:r>
      <w:t>Scorecard</w:t>
    </w:r>
    <w:r w:rsidR="004848B5">
      <w:t xml:space="preserve"> (</w:t>
    </w:r>
    <w:r w:rsidR="002B35F5">
      <w:t>Dec.</w:t>
    </w:r>
    <w:r w:rsidR="006F3C15">
      <w:t xml:space="preserve"> 2018</w:t>
    </w:r>
    <w:r w:rsidR="004848B5">
      <w:t xml:space="preserve"> edition)</w:t>
    </w:r>
    <w:r w:rsidR="00104270">
      <w:t xml:space="preserve"> – </w:t>
    </w:r>
    <w:r w:rsidR="001C287E">
      <w:t>HHS</w:t>
    </w:r>
    <w:r w:rsidR="00104270">
      <w:t xml:space="preserve"> Details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4090011"/>
    <w:lvl w:ilvl="0">
      <w:start w:val="1"/>
      <w:numFmt w:val="decimal"/>
      <w:lvlText w:val="%1)"/>
      <w:lvlJc w:val="left"/>
      <w:pPr>
        <w:ind w:left="360" w:hanging="360"/>
      </w:pPr>
      <w:rPr>
        <w:rFonts w:hint="default"/>
      </w:rPr>
    </w:lvl>
  </w:abstractNum>
  <w:abstractNum w:abstractNumId="1">
    <w:nsid w:val="0A0F2346"/>
    <w:multiLevelType w:val="hybridMultilevel"/>
    <w:tmpl w:val="CE984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4772B8"/>
    <w:multiLevelType w:val="hybridMultilevel"/>
    <w:tmpl w:val="A60E0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C5C740D"/>
    <w:multiLevelType w:val="hybridMultilevel"/>
    <w:tmpl w:val="C09EE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F0183A"/>
    <w:multiLevelType w:val="hybridMultilevel"/>
    <w:tmpl w:val="42344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FE4F5F"/>
    <w:multiLevelType w:val="hybridMultilevel"/>
    <w:tmpl w:val="58C61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350981"/>
    <w:multiLevelType w:val="hybridMultilevel"/>
    <w:tmpl w:val="BBF65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AE7AD5"/>
    <w:multiLevelType w:val="hybridMultilevel"/>
    <w:tmpl w:val="00BC8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815F18"/>
    <w:multiLevelType w:val="hybridMultilevel"/>
    <w:tmpl w:val="DED42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FE6772"/>
    <w:multiLevelType w:val="hybridMultilevel"/>
    <w:tmpl w:val="A71EC0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E3C366A"/>
    <w:multiLevelType w:val="hybridMultilevel"/>
    <w:tmpl w:val="5EAC7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705ED9"/>
    <w:multiLevelType w:val="hybridMultilevel"/>
    <w:tmpl w:val="FB06B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3A7EF6"/>
    <w:multiLevelType w:val="hybridMultilevel"/>
    <w:tmpl w:val="AF04AA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827CE0"/>
    <w:multiLevelType w:val="hybridMultilevel"/>
    <w:tmpl w:val="D6287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13"/>
  </w:num>
  <w:num w:numId="5">
    <w:abstractNumId w:val="9"/>
  </w:num>
  <w:num w:numId="6">
    <w:abstractNumId w:val="12"/>
  </w:num>
  <w:num w:numId="7">
    <w:abstractNumId w:val="11"/>
  </w:num>
  <w:num w:numId="8">
    <w:abstractNumId w:val="2"/>
  </w:num>
  <w:num w:numId="9">
    <w:abstractNumId w:val="7"/>
  </w:num>
  <w:num w:numId="10">
    <w:abstractNumId w:val="6"/>
  </w:num>
  <w:num w:numId="11">
    <w:abstractNumId w:val="10"/>
  </w:num>
  <w:num w:numId="12">
    <w:abstractNumId w:val="5"/>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20"/>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142"/>
    <w:rsid w:val="00022AD9"/>
    <w:rsid w:val="00026620"/>
    <w:rsid w:val="00036827"/>
    <w:rsid w:val="00060840"/>
    <w:rsid w:val="000859C7"/>
    <w:rsid w:val="000D6580"/>
    <w:rsid w:val="00104270"/>
    <w:rsid w:val="00111BFD"/>
    <w:rsid w:val="001562B6"/>
    <w:rsid w:val="00157867"/>
    <w:rsid w:val="00161F84"/>
    <w:rsid w:val="001B0F37"/>
    <w:rsid w:val="001C1DE0"/>
    <w:rsid w:val="001C287E"/>
    <w:rsid w:val="001D45D7"/>
    <w:rsid w:val="001D61FF"/>
    <w:rsid w:val="001F0552"/>
    <w:rsid w:val="00202E87"/>
    <w:rsid w:val="002153FF"/>
    <w:rsid w:val="002259E2"/>
    <w:rsid w:val="00270AD0"/>
    <w:rsid w:val="00273097"/>
    <w:rsid w:val="00274FCA"/>
    <w:rsid w:val="0027635B"/>
    <w:rsid w:val="00283529"/>
    <w:rsid w:val="0028508A"/>
    <w:rsid w:val="00292428"/>
    <w:rsid w:val="002A4E43"/>
    <w:rsid w:val="002A714F"/>
    <w:rsid w:val="002A782A"/>
    <w:rsid w:val="002B0107"/>
    <w:rsid w:val="002B35F5"/>
    <w:rsid w:val="002D7DD5"/>
    <w:rsid w:val="00307E70"/>
    <w:rsid w:val="00317E9E"/>
    <w:rsid w:val="003502DA"/>
    <w:rsid w:val="003811F5"/>
    <w:rsid w:val="003A28D9"/>
    <w:rsid w:val="003B461F"/>
    <w:rsid w:val="003B644B"/>
    <w:rsid w:val="003C06A5"/>
    <w:rsid w:val="003D52EC"/>
    <w:rsid w:val="003D7CBF"/>
    <w:rsid w:val="003E302F"/>
    <w:rsid w:val="003F04D7"/>
    <w:rsid w:val="003F2924"/>
    <w:rsid w:val="003F35E7"/>
    <w:rsid w:val="00400160"/>
    <w:rsid w:val="004019AD"/>
    <w:rsid w:val="00405E16"/>
    <w:rsid w:val="0041041B"/>
    <w:rsid w:val="00413378"/>
    <w:rsid w:val="00416C13"/>
    <w:rsid w:val="0042136A"/>
    <w:rsid w:val="00463693"/>
    <w:rsid w:val="004653EB"/>
    <w:rsid w:val="00481D97"/>
    <w:rsid w:val="00482232"/>
    <w:rsid w:val="004848B5"/>
    <w:rsid w:val="004F7AEA"/>
    <w:rsid w:val="00503E05"/>
    <w:rsid w:val="00533533"/>
    <w:rsid w:val="00533F48"/>
    <w:rsid w:val="005409C6"/>
    <w:rsid w:val="00542C58"/>
    <w:rsid w:val="00545100"/>
    <w:rsid w:val="0055021E"/>
    <w:rsid w:val="00557CAA"/>
    <w:rsid w:val="00570FC6"/>
    <w:rsid w:val="005827D3"/>
    <w:rsid w:val="005900AE"/>
    <w:rsid w:val="005B7142"/>
    <w:rsid w:val="005C344A"/>
    <w:rsid w:val="005C4065"/>
    <w:rsid w:val="005C68D7"/>
    <w:rsid w:val="005E614C"/>
    <w:rsid w:val="00602C85"/>
    <w:rsid w:val="006330EC"/>
    <w:rsid w:val="006575F3"/>
    <w:rsid w:val="00682E08"/>
    <w:rsid w:val="006878BA"/>
    <w:rsid w:val="006A6E18"/>
    <w:rsid w:val="006C46FF"/>
    <w:rsid w:val="006E6070"/>
    <w:rsid w:val="006F3C15"/>
    <w:rsid w:val="00707DDA"/>
    <w:rsid w:val="0072132A"/>
    <w:rsid w:val="00723EF5"/>
    <w:rsid w:val="007364A6"/>
    <w:rsid w:val="007472A8"/>
    <w:rsid w:val="00784D77"/>
    <w:rsid w:val="007A1D85"/>
    <w:rsid w:val="007B2D10"/>
    <w:rsid w:val="007C4D32"/>
    <w:rsid w:val="007E408B"/>
    <w:rsid w:val="00801ACB"/>
    <w:rsid w:val="0080275A"/>
    <w:rsid w:val="0081203A"/>
    <w:rsid w:val="008244FA"/>
    <w:rsid w:val="00830696"/>
    <w:rsid w:val="008475DB"/>
    <w:rsid w:val="008609A8"/>
    <w:rsid w:val="00861CD2"/>
    <w:rsid w:val="008859B8"/>
    <w:rsid w:val="008A1FF3"/>
    <w:rsid w:val="008A2A8C"/>
    <w:rsid w:val="008A3294"/>
    <w:rsid w:val="008D6CD3"/>
    <w:rsid w:val="008D75B6"/>
    <w:rsid w:val="008E025C"/>
    <w:rsid w:val="008F73DE"/>
    <w:rsid w:val="00906B85"/>
    <w:rsid w:val="009235FD"/>
    <w:rsid w:val="00931718"/>
    <w:rsid w:val="0093743C"/>
    <w:rsid w:val="00953BDD"/>
    <w:rsid w:val="00963AAF"/>
    <w:rsid w:val="00982A92"/>
    <w:rsid w:val="009C5832"/>
    <w:rsid w:val="009E53CE"/>
    <w:rsid w:val="009E7DFE"/>
    <w:rsid w:val="00A055D0"/>
    <w:rsid w:val="00A24E7D"/>
    <w:rsid w:val="00A72B54"/>
    <w:rsid w:val="00A73AE6"/>
    <w:rsid w:val="00A93A5B"/>
    <w:rsid w:val="00AC6C6F"/>
    <w:rsid w:val="00AD23EF"/>
    <w:rsid w:val="00AE3F11"/>
    <w:rsid w:val="00AE4737"/>
    <w:rsid w:val="00AF1929"/>
    <w:rsid w:val="00B34B4A"/>
    <w:rsid w:val="00B36BA4"/>
    <w:rsid w:val="00B422D0"/>
    <w:rsid w:val="00B46503"/>
    <w:rsid w:val="00B47EA0"/>
    <w:rsid w:val="00B51984"/>
    <w:rsid w:val="00B616CE"/>
    <w:rsid w:val="00B75966"/>
    <w:rsid w:val="00B9322E"/>
    <w:rsid w:val="00BA77BF"/>
    <w:rsid w:val="00BE3B19"/>
    <w:rsid w:val="00BF0BB4"/>
    <w:rsid w:val="00C233A4"/>
    <w:rsid w:val="00C45ED5"/>
    <w:rsid w:val="00C52D53"/>
    <w:rsid w:val="00C57377"/>
    <w:rsid w:val="00C60C6C"/>
    <w:rsid w:val="00C62A4A"/>
    <w:rsid w:val="00C62D77"/>
    <w:rsid w:val="00C84AD0"/>
    <w:rsid w:val="00C857A8"/>
    <w:rsid w:val="00C85BC7"/>
    <w:rsid w:val="00CB6953"/>
    <w:rsid w:val="00CC01D4"/>
    <w:rsid w:val="00CC7A80"/>
    <w:rsid w:val="00CD1010"/>
    <w:rsid w:val="00CF53B3"/>
    <w:rsid w:val="00CF61A4"/>
    <w:rsid w:val="00D12C22"/>
    <w:rsid w:val="00D42B21"/>
    <w:rsid w:val="00D444A6"/>
    <w:rsid w:val="00D62355"/>
    <w:rsid w:val="00D7342C"/>
    <w:rsid w:val="00DB424D"/>
    <w:rsid w:val="00DD6D6B"/>
    <w:rsid w:val="00DF34BC"/>
    <w:rsid w:val="00DF3DDF"/>
    <w:rsid w:val="00DF695A"/>
    <w:rsid w:val="00E05E6D"/>
    <w:rsid w:val="00E161EB"/>
    <w:rsid w:val="00E561EE"/>
    <w:rsid w:val="00E56FFD"/>
    <w:rsid w:val="00E646C6"/>
    <w:rsid w:val="00E7354F"/>
    <w:rsid w:val="00E84211"/>
    <w:rsid w:val="00EB0ECF"/>
    <w:rsid w:val="00EB21BA"/>
    <w:rsid w:val="00ED4478"/>
    <w:rsid w:val="00ED678E"/>
    <w:rsid w:val="00EF045E"/>
    <w:rsid w:val="00EF58D5"/>
    <w:rsid w:val="00F049BC"/>
    <w:rsid w:val="00F17C59"/>
    <w:rsid w:val="00F30EC9"/>
    <w:rsid w:val="00F449D0"/>
    <w:rsid w:val="00F61574"/>
    <w:rsid w:val="00F6295A"/>
    <w:rsid w:val="00F75D32"/>
    <w:rsid w:val="00F7693B"/>
    <w:rsid w:val="00F92074"/>
    <w:rsid w:val="00FA06B4"/>
    <w:rsid w:val="00FB0C8B"/>
    <w:rsid w:val="00FB1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53B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52D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1337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1337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71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142"/>
  </w:style>
  <w:style w:type="paragraph" w:styleId="Footer">
    <w:name w:val="footer"/>
    <w:basedOn w:val="Normal"/>
    <w:link w:val="FooterChar"/>
    <w:uiPriority w:val="99"/>
    <w:unhideWhenUsed/>
    <w:rsid w:val="005B71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142"/>
  </w:style>
  <w:style w:type="table" w:styleId="TableGrid">
    <w:name w:val="Table Grid"/>
    <w:basedOn w:val="TableNormal"/>
    <w:uiPriority w:val="59"/>
    <w:rsid w:val="005B7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HUD Footnote Text"/>
    <w:basedOn w:val="Normal"/>
    <w:link w:val="FootnoteTextChar"/>
    <w:unhideWhenUsed/>
    <w:rsid w:val="00C52D53"/>
    <w:pPr>
      <w:spacing w:after="0" w:line="240" w:lineRule="auto"/>
    </w:pPr>
    <w:rPr>
      <w:sz w:val="20"/>
      <w:szCs w:val="20"/>
    </w:rPr>
  </w:style>
  <w:style w:type="character" w:customStyle="1" w:styleId="FootnoteTextChar">
    <w:name w:val="Footnote Text Char"/>
    <w:aliases w:val="HUD Footnote Text Char"/>
    <w:basedOn w:val="DefaultParagraphFont"/>
    <w:link w:val="FootnoteText"/>
    <w:rsid w:val="00C52D53"/>
    <w:rPr>
      <w:sz w:val="20"/>
      <w:szCs w:val="20"/>
    </w:rPr>
  </w:style>
  <w:style w:type="character" w:styleId="FootnoteReference">
    <w:name w:val="footnote reference"/>
    <w:basedOn w:val="DefaultParagraphFont"/>
    <w:unhideWhenUsed/>
    <w:rsid w:val="00C52D53"/>
    <w:rPr>
      <w:vertAlign w:val="superscript"/>
    </w:rPr>
  </w:style>
  <w:style w:type="character" w:styleId="Hyperlink">
    <w:name w:val="Hyperlink"/>
    <w:basedOn w:val="DefaultParagraphFont"/>
    <w:uiPriority w:val="99"/>
    <w:unhideWhenUsed/>
    <w:rsid w:val="00C52D53"/>
    <w:rPr>
      <w:color w:val="0000FF" w:themeColor="hyperlink"/>
      <w:u w:val="single"/>
    </w:rPr>
  </w:style>
  <w:style w:type="paragraph" w:styleId="ListParagraph">
    <w:name w:val="List Paragraph"/>
    <w:basedOn w:val="Normal"/>
    <w:uiPriority w:val="34"/>
    <w:qFormat/>
    <w:rsid w:val="00C52D53"/>
    <w:pPr>
      <w:ind w:left="720"/>
      <w:contextualSpacing/>
    </w:pPr>
  </w:style>
  <w:style w:type="paragraph" w:styleId="ListBullet">
    <w:name w:val="List Bullet"/>
    <w:basedOn w:val="Normal"/>
    <w:uiPriority w:val="99"/>
    <w:unhideWhenUsed/>
    <w:rsid w:val="00C52D53"/>
    <w:pPr>
      <w:contextualSpacing/>
    </w:pPr>
  </w:style>
  <w:style w:type="paragraph" w:styleId="BodyText">
    <w:name w:val="Body Text"/>
    <w:basedOn w:val="Normal"/>
    <w:link w:val="BodyTextChar"/>
    <w:uiPriority w:val="99"/>
    <w:unhideWhenUsed/>
    <w:rsid w:val="00C52D53"/>
    <w:pPr>
      <w:spacing w:after="120"/>
    </w:pPr>
  </w:style>
  <w:style w:type="character" w:customStyle="1" w:styleId="BodyTextChar">
    <w:name w:val="Body Text Char"/>
    <w:basedOn w:val="DefaultParagraphFont"/>
    <w:link w:val="BodyText"/>
    <w:uiPriority w:val="99"/>
    <w:rsid w:val="00C52D53"/>
  </w:style>
  <w:style w:type="character" w:customStyle="1" w:styleId="Heading2Char">
    <w:name w:val="Heading 2 Char"/>
    <w:basedOn w:val="DefaultParagraphFont"/>
    <w:link w:val="Heading2"/>
    <w:uiPriority w:val="9"/>
    <w:rsid w:val="00C52D53"/>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CF53B3"/>
    <w:rPr>
      <w:sz w:val="16"/>
      <w:szCs w:val="16"/>
    </w:rPr>
  </w:style>
  <w:style w:type="paragraph" w:styleId="CommentText">
    <w:name w:val="annotation text"/>
    <w:basedOn w:val="Normal"/>
    <w:link w:val="CommentTextChar"/>
    <w:uiPriority w:val="99"/>
    <w:semiHidden/>
    <w:unhideWhenUsed/>
    <w:rsid w:val="00CF53B3"/>
    <w:pPr>
      <w:spacing w:line="240" w:lineRule="auto"/>
    </w:pPr>
    <w:rPr>
      <w:sz w:val="20"/>
      <w:szCs w:val="20"/>
    </w:rPr>
  </w:style>
  <w:style w:type="character" w:customStyle="1" w:styleId="CommentTextChar">
    <w:name w:val="Comment Text Char"/>
    <w:basedOn w:val="DefaultParagraphFont"/>
    <w:link w:val="CommentText"/>
    <w:uiPriority w:val="99"/>
    <w:semiHidden/>
    <w:rsid w:val="00CF53B3"/>
    <w:rPr>
      <w:sz w:val="20"/>
      <w:szCs w:val="20"/>
    </w:rPr>
  </w:style>
  <w:style w:type="paragraph" w:styleId="CommentSubject">
    <w:name w:val="annotation subject"/>
    <w:basedOn w:val="CommentText"/>
    <w:next w:val="CommentText"/>
    <w:link w:val="CommentSubjectChar"/>
    <w:uiPriority w:val="99"/>
    <w:semiHidden/>
    <w:unhideWhenUsed/>
    <w:rsid w:val="00CF53B3"/>
    <w:rPr>
      <w:b/>
      <w:bCs/>
    </w:rPr>
  </w:style>
  <w:style w:type="character" w:customStyle="1" w:styleId="CommentSubjectChar">
    <w:name w:val="Comment Subject Char"/>
    <w:basedOn w:val="CommentTextChar"/>
    <w:link w:val="CommentSubject"/>
    <w:uiPriority w:val="99"/>
    <w:semiHidden/>
    <w:rsid w:val="00CF53B3"/>
    <w:rPr>
      <w:b/>
      <w:bCs/>
      <w:sz w:val="20"/>
      <w:szCs w:val="20"/>
    </w:rPr>
  </w:style>
  <w:style w:type="paragraph" w:styleId="BalloonText">
    <w:name w:val="Balloon Text"/>
    <w:basedOn w:val="Normal"/>
    <w:link w:val="BalloonTextChar"/>
    <w:uiPriority w:val="99"/>
    <w:semiHidden/>
    <w:unhideWhenUsed/>
    <w:rsid w:val="00CF53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53B3"/>
    <w:rPr>
      <w:rFonts w:ascii="Tahoma" w:hAnsi="Tahoma" w:cs="Tahoma"/>
      <w:sz w:val="16"/>
      <w:szCs w:val="16"/>
    </w:rPr>
  </w:style>
  <w:style w:type="character" w:customStyle="1" w:styleId="Heading4Char">
    <w:name w:val="Heading 4 Char"/>
    <w:basedOn w:val="DefaultParagraphFont"/>
    <w:link w:val="Heading4"/>
    <w:uiPriority w:val="9"/>
    <w:rsid w:val="00413378"/>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rsid w:val="00413378"/>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FB11B4"/>
    <w:rPr>
      <w:color w:val="800080" w:themeColor="followedHyperlink"/>
      <w:u w:val="single"/>
    </w:rPr>
  </w:style>
  <w:style w:type="paragraph" w:styleId="Caption">
    <w:name w:val="caption"/>
    <w:basedOn w:val="Normal"/>
    <w:next w:val="Normal"/>
    <w:uiPriority w:val="35"/>
    <w:unhideWhenUsed/>
    <w:qFormat/>
    <w:rsid w:val="00F049BC"/>
    <w:pPr>
      <w:spacing w:line="240" w:lineRule="auto"/>
    </w:pPr>
    <w:rPr>
      <w:b/>
      <w:bCs/>
      <w:color w:val="4F81BD" w:themeColor="accent1"/>
      <w:sz w:val="18"/>
      <w:szCs w:val="18"/>
    </w:rPr>
  </w:style>
  <w:style w:type="character" w:customStyle="1" w:styleId="Heading1Char">
    <w:name w:val="Heading 1 Char"/>
    <w:basedOn w:val="DefaultParagraphFont"/>
    <w:link w:val="Heading1"/>
    <w:uiPriority w:val="9"/>
    <w:rsid w:val="00953BDD"/>
    <w:rPr>
      <w:rFonts w:asciiTheme="majorHAnsi" w:eastAsiaTheme="majorEastAsia" w:hAnsiTheme="majorHAnsi" w:cstheme="majorBidi"/>
      <w:b/>
      <w:bCs/>
      <w:color w:val="365F91" w:themeColor="accent1" w:themeShade="BF"/>
      <w:sz w:val="28"/>
      <w:szCs w:val="28"/>
    </w:rPr>
  </w:style>
  <w:style w:type="character" w:styleId="PlaceholderText">
    <w:name w:val="Placeholder Text"/>
    <w:basedOn w:val="DefaultParagraphFont"/>
    <w:uiPriority w:val="99"/>
    <w:semiHidden/>
    <w:rsid w:val="00AF192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53B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52D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1337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1337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71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142"/>
  </w:style>
  <w:style w:type="paragraph" w:styleId="Footer">
    <w:name w:val="footer"/>
    <w:basedOn w:val="Normal"/>
    <w:link w:val="FooterChar"/>
    <w:uiPriority w:val="99"/>
    <w:unhideWhenUsed/>
    <w:rsid w:val="005B71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142"/>
  </w:style>
  <w:style w:type="table" w:styleId="TableGrid">
    <w:name w:val="Table Grid"/>
    <w:basedOn w:val="TableNormal"/>
    <w:uiPriority w:val="59"/>
    <w:rsid w:val="005B7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HUD Footnote Text"/>
    <w:basedOn w:val="Normal"/>
    <w:link w:val="FootnoteTextChar"/>
    <w:unhideWhenUsed/>
    <w:rsid w:val="00C52D53"/>
    <w:pPr>
      <w:spacing w:after="0" w:line="240" w:lineRule="auto"/>
    </w:pPr>
    <w:rPr>
      <w:sz w:val="20"/>
      <w:szCs w:val="20"/>
    </w:rPr>
  </w:style>
  <w:style w:type="character" w:customStyle="1" w:styleId="FootnoteTextChar">
    <w:name w:val="Footnote Text Char"/>
    <w:aliases w:val="HUD Footnote Text Char"/>
    <w:basedOn w:val="DefaultParagraphFont"/>
    <w:link w:val="FootnoteText"/>
    <w:rsid w:val="00C52D53"/>
    <w:rPr>
      <w:sz w:val="20"/>
      <w:szCs w:val="20"/>
    </w:rPr>
  </w:style>
  <w:style w:type="character" w:styleId="FootnoteReference">
    <w:name w:val="footnote reference"/>
    <w:basedOn w:val="DefaultParagraphFont"/>
    <w:unhideWhenUsed/>
    <w:rsid w:val="00C52D53"/>
    <w:rPr>
      <w:vertAlign w:val="superscript"/>
    </w:rPr>
  </w:style>
  <w:style w:type="character" w:styleId="Hyperlink">
    <w:name w:val="Hyperlink"/>
    <w:basedOn w:val="DefaultParagraphFont"/>
    <w:uiPriority w:val="99"/>
    <w:unhideWhenUsed/>
    <w:rsid w:val="00C52D53"/>
    <w:rPr>
      <w:color w:val="0000FF" w:themeColor="hyperlink"/>
      <w:u w:val="single"/>
    </w:rPr>
  </w:style>
  <w:style w:type="paragraph" w:styleId="ListParagraph">
    <w:name w:val="List Paragraph"/>
    <w:basedOn w:val="Normal"/>
    <w:uiPriority w:val="34"/>
    <w:qFormat/>
    <w:rsid w:val="00C52D53"/>
    <w:pPr>
      <w:ind w:left="720"/>
      <w:contextualSpacing/>
    </w:pPr>
  </w:style>
  <w:style w:type="paragraph" w:styleId="ListBullet">
    <w:name w:val="List Bullet"/>
    <w:basedOn w:val="Normal"/>
    <w:uiPriority w:val="99"/>
    <w:unhideWhenUsed/>
    <w:rsid w:val="00C52D53"/>
    <w:pPr>
      <w:contextualSpacing/>
    </w:pPr>
  </w:style>
  <w:style w:type="paragraph" w:styleId="BodyText">
    <w:name w:val="Body Text"/>
    <w:basedOn w:val="Normal"/>
    <w:link w:val="BodyTextChar"/>
    <w:uiPriority w:val="99"/>
    <w:unhideWhenUsed/>
    <w:rsid w:val="00C52D53"/>
    <w:pPr>
      <w:spacing w:after="120"/>
    </w:pPr>
  </w:style>
  <w:style w:type="character" w:customStyle="1" w:styleId="BodyTextChar">
    <w:name w:val="Body Text Char"/>
    <w:basedOn w:val="DefaultParagraphFont"/>
    <w:link w:val="BodyText"/>
    <w:uiPriority w:val="99"/>
    <w:rsid w:val="00C52D53"/>
  </w:style>
  <w:style w:type="character" w:customStyle="1" w:styleId="Heading2Char">
    <w:name w:val="Heading 2 Char"/>
    <w:basedOn w:val="DefaultParagraphFont"/>
    <w:link w:val="Heading2"/>
    <w:uiPriority w:val="9"/>
    <w:rsid w:val="00C52D53"/>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CF53B3"/>
    <w:rPr>
      <w:sz w:val="16"/>
      <w:szCs w:val="16"/>
    </w:rPr>
  </w:style>
  <w:style w:type="paragraph" w:styleId="CommentText">
    <w:name w:val="annotation text"/>
    <w:basedOn w:val="Normal"/>
    <w:link w:val="CommentTextChar"/>
    <w:uiPriority w:val="99"/>
    <w:semiHidden/>
    <w:unhideWhenUsed/>
    <w:rsid w:val="00CF53B3"/>
    <w:pPr>
      <w:spacing w:line="240" w:lineRule="auto"/>
    </w:pPr>
    <w:rPr>
      <w:sz w:val="20"/>
      <w:szCs w:val="20"/>
    </w:rPr>
  </w:style>
  <w:style w:type="character" w:customStyle="1" w:styleId="CommentTextChar">
    <w:name w:val="Comment Text Char"/>
    <w:basedOn w:val="DefaultParagraphFont"/>
    <w:link w:val="CommentText"/>
    <w:uiPriority w:val="99"/>
    <w:semiHidden/>
    <w:rsid w:val="00CF53B3"/>
    <w:rPr>
      <w:sz w:val="20"/>
      <w:szCs w:val="20"/>
    </w:rPr>
  </w:style>
  <w:style w:type="paragraph" w:styleId="CommentSubject">
    <w:name w:val="annotation subject"/>
    <w:basedOn w:val="CommentText"/>
    <w:next w:val="CommentText"/>
    <w:link w:val="CommentSubjectChar"/>
    <w:uiPriority w:val="99"/>
    <w:semiHidden/>
    <w:unhideWhenUsed/>
    <w:rsid w:val="00CF53B3"/>
    <w:rPr>
      <w:b/>
      <w:bCs/>
    </w:rPr>
  </w:style>
  <w:style w:type="character" w:customStyle="1" w:styleId="CommentSubjectChar">
    <w:name w:val="Comment Subject Char"/>
    <w:basedOn w:val="CommentTextChar"/>
    <w:link w:val="CommentSubject"/>
    <w:uiPriority w:val="99"/>
    <w:semiHidden/>
    <w:rsid w:val="00CF53B3"/>
    <w:rPr>
      <w:b/>
      <w:bCs/>
      <w:sz w:val="20"/>
      <w:szCs w:val="20"/>
    </w:rPr>
  </w:style>
  <w:style w:type="paragraph" w:styleId="BalloonText">
    <w:name w:val="Balloon Text"/>
    <w:basedOn w:val="Normal"/>
    <w:link w:val="BalloonTextChar"/>
    <w:uiPriority w:val="99"/>
    <w:semiHidden/>
    <w:unhideWhenUsed/>
    <w:rsid w:val="00CF53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53B3"/>
    <w:rPr>
      <w:rFonts w:ascii="Tahoma" w:hAnsi="Tahoma" w:cs="Tahoma"/>
      <w:sz w:val="16"/>
      <w:szCs w:val="16"/>
    </w:rPr>
  </w:style>
  <w:style w:type="character" w:customStyle="1" w:styleId="Heading4Char">
    <w:name w:val="Heading 4 Char"/>
    <w:basedOn w:val="DefaultParagraphFont"/>
    <w:link w:val="Heading4"/>
    <w:uiPriority w:val="9"/>
    <w:rsid w:val="00413378"/>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rsid w:val="00413378"/>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FB11B4"/>
    <w:rPr>
      <w:color w:val="800080" w:themeColor="followedHyperlink"/>
      <w:u w:val="single"/>
    </w:rPr>
  </w:style>
  <w:style w:type="paragraph" w:styleId="Caption">
    <w:name w:val="caption"/>
    <w:basedOn w:val="Normal"/>
    <w:next w:val="Normal"/>
    <w:uiPriority w:val="35"/>
    <w:unhideWhenUsed/>
    <w:qFormat/>
    <w:rsid w:val="00F049BC"/>
    <w:pPr>
      <w:spacing w:line="240" w:lineRule="auto"/>
    </w:pPr>
    <w:rPr>
      <w:b/>
      <w:bCs/>
      <w:color w:val="4F81BD" w:themeColor="accent1"/>
      <w:sz w:val="18"/>
      <w:szCs w:val="18"/>
    </w:rPr>
  </w:style>
  <w:style w:type="character" w:customStyle="1" w:styleId="Heading1Char">
    <w:name w:val="Heading 1 Char"/>
    <w:basedOn w:val="DefaultParagraphFont"/>
    <w:link w:val="Heading1"/>
    <w:uiPriority w:val="9"/>
    <w:rsid w:val="00953BDD"/>
    <w:rPr>
      <w:rFonts w:asciiTheme="majorHAnsi" w:eastAsiaTheme="majorEastAsia" w:hAnsiTheme="majorHAnsi" w:cstheme="majorBidi"/>
      <w:b/>
      <w:bCs/>
      <w:color w:val="365F91" w:themeColor="accent1" w:themeShade="BF"/>
      <w:sz w:val="28"/>
      <w:szCs w:val="28"/>
    </w:rPr>
  </w:style>
  <w:style w:type="character" w:styleId="PlaceholderText">
    <w:name w:val="Placeholder Text"/>
    <w:basedOn w:val="DefaultParagraphFont"/>
    <w:uiPriority w:val="99"/>
    <w:semiHidden/>
    <w:rsid w:val="00AF192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18746">
      <w:bodyDiv w:val="1"/>
      <w:marLeft w:val="0"/>
      <w:marRight w:val="0"/>
      <w:marTop w:val="0"/>
      <w:marBottom w:val="0"/>
      <w:divBdr>
        <w:top w:val="none" w:sz="0" w:space="0" w:color="auto"/>
        <w:left w:val="none" w:sz="0" w:space="0" w:color="auto"/>
        <w:bottom w:val="none" w:sz="0" w:space="0" w:color="auto"/>
        <w:right w:val="none" w:sz="0" w:space="0" w:color="auto"/>
      </w:divBdr>
    </w:div>
    <w:div w:id="87966986">
      <w:bodyDiv w:val="1"/>
      <w:marLeft w:val="0"/>
      <w:marRight w:val="0"/>
      <w:marTop w:val="0"/>
      <w:marBottom w:val="0"/>
      <w:divBdr>
        <w:top w:val="none" w:sz="0" w:space="0" w:color="auto"/>
        <w:left w:val="none" w:sz="0" w:space="0" w:color="auto"/>
        <w:bottom w:val="none" w:sz="0" w:space="0" w:color="auto"/>
        <w:right w:val="none" w:sz="0" w:space="0" w:color="auto"/>
      </w:divBdr>
    </w:div>
    <w:div w:id="107356470">
      <w:bodyDiv w:val="1"/>
      <w:marLeft w:val="0"/>
      <w:marRight w:val="0"/>
      <w:marTop w:val="0"/>
      <w:marBottom w:val="0"/>
      <w:divBdr>
        <w:top w:val="none" w:sz="0" w:space="0" w:color="auto"/>
        <w:left w:val="none" w:sz="0" w:space="0" w:color="auto"/>
        <w:bottom w:val="none" w:sz="0" w:space="0" w:color="auto"/>
        <w:right w:val="none" w:sz="0" w:space="0" w:color="auto"/>
      </w:divBdr>
    </w:div>
    <w:div w:id="240532247">
      <w:bodyDiv w:val="1"/>
      <w:marLeft w:val="0"/>
      <w:marRight w:val="0"/>
      <w:marTop w:val="0"/>
      <w:marBottom w:val="0"/>
      <w:divBdr>
        <w:top w:val="none" w:sz="0" w:space="0" w:color="auto"/>
        <w:left w:val="none" w:sz="0" w:space="0" w:color="auto"/>
        <w:bottom w:val="none" w:sz="0" w:space="0" w:color="auto"/>
        <w:right w:val="none" w:sz="0" w:space="0" w:color="auto"/>
      </w:divBdr>
    </w:div>
    <w:div w:id="243296142">
      <w:bodyDiv w:val="1"/>
      <w:marLeft w:val="0"/>
      <w:marRight w:val="0"/>
      <w:marTop w:val="0"/>
      <w:marBottom w:val="0"/>
      <w:divBdr>
        <w:top w:val="none" w:sz="0" w:space="0" w:color="auto"/>
        <w:left w:val="none" w:sz="0" w:space="0" w:color="auto"/>
        <w:bottom w:val="none" w:sz="0" w:space="0" w:color="auto"/>
        <w:right w:val="none" w:sz="0" w:space="0" w:color="auto"/>
      </w:divBdr>
    </w:div>
    <w:div w:id="337585112">
      <w:bodyDiv w:val="1"/>
      <w:marLeft w:val="0"/>
      <w:marRight w:val="0"/>
      <w:marTop w:val="0"/>
      <w:marBottom w:val="0"/>
      <w:divBdr>
        <w:top w:val="none" w:sz="0" w:space="0" w:color="auto"/>
        <w:left w:val="none" w:sz="0" w:space="0" w:color="auto"/>
        <w:bottom w:val="none" w:sz="0" w:space="0" w:color="auto"/>
        <w:right w:val="none" w:sz="0" w:space="0" w:color="auto"/>
      </w:divBdr>
    </w:div>
    <w:div w:id="354890196">
      <w:bodyDiv w:val="1"/>
      <w:marLeft w:val="0"/>
      <w:marRight w:val="0"/>
      <w:marTop w:val="0"/>
      <w:marBottom w:val="0"/>
      <w:divBdr>
        <w:top w:val="none" w:sz="0" w:space="0" w:color="auto"/>
        <w:left w:val="none" w:sz="0" w:space="0" w:color="auto"/>
        <w:bottom w:val="none" w:sz="0" w:space="0" w:color="auto"/>
        <w:right w:val="none" w:sz="0" w:space="0" w:color="auto"/>
      </w:divBdr>
    </w:div>
    <w:div w:id="368647611">
      <w:bodyDiv w:val="1"/>
      <w:marLeft w:val="0"/>
      <w:marRight w:val="0"/>
      <w:marTop w:val="0"/>
      <w:marBottom w:val="0"/>
      <w:divBdr>
        <w:top w:val="none" w:sz="0" w:space="0" w:color="auto"/>
        <w:left w:val="none" w:sz="0" w:space="0" w:color="auto"/>
        <w:bottom w:val="none" w:sz="0" w:space="0" w:color="auto"/>
        <w:right w:val="none" w:sz="0" w:space="0" w:color="auto"/>
      </w:divBdr>
    </w:div>
    <w:div w:id="444884959">
      <w:bodyDiv w:val="1"/>
      <w:marLeft w:val="0"/>
      <w:marRight w:val="0"/>
      <w:marTop w:val="0"/>
      <w:marBottom w:val="0"/>
      <w:divBdr>
        <w:top w:val="none" w:sz="0" w:space="0" w:color="auto"/>
        <w:left w:val="none" w:sz="0" w:space="0" w:color="auto"/>
        <w:bottom w:val="none" w:sz="0" w:space="0" w:color="auto"/>
        <w:right w:val="none" w:sz="0" w:space="0" w:color="auto"/>
      </w:divBdr>
    </w:div>
    <w:div w:id="459031293">
      <w:bodyDiv w:val="1"/>
      <w:marLeft w:val="0"/>
      <w:marRight w:val="0"/>
      <w:marTop w:val="0"/>
      <w:marBottom w:val="0"/>
      <w:divBdr>
        <w:top w:val="none" w:sz="0" w:space="0" w:color="auto"/>
        <w:left w:val="none" w:sz="0" w:space="0" w:color="auto"/>
        <w:bottom w:val="none" w:sz="0" w:space="0" w:color="auto"/>
        <w:right w:val="none" w:sz="0" w:space="0" w:color="auto"/>
      </w:divBdr>
    </w:div>
    <w:div w:id="551843093">
      <w:bodyDiv w:val="1"/>
      <w:marLeft w:val="0"/>
      <w:marRight w:val="0"/>
      <w:marTop w:val="0"/>
      <w:marBottom w:val="0"/>
      <w:divBdr>
        <w:top w:val="none" w:sz="0" w:space="0" w:color="auto"/>
        <w:left w:val="none" w:sz="0" w:space="0" w:color="auto"/>
        <w:bottom w:val="none" w:sz="0" w:space="0" w:color="auto"/>
        <w:right w:val="none" w:sz="0" w:space="0" w:color="auto"/>
      </w:divBdr>
    </w:div>
    <w:div w:id="615526557">
      <w:bodyDiv w:val="1"/>
      <w:marLeft w:val="0"/>
      <w:marRight w:val="0"/>
      <w:marTop w:val="0"/>
      <w:marBottom w:val="0"/>
      <w:divBdr>
        <w:top w:val="none" w:sz="0" w:space="0" w:color="auto"/>
        <w:left w:val="none" w:sz="0" w:space="0" w:color="auto"/>
        <w:bottom w:val="none" w:sz="0" w:space="0" w:color="auto"/>
        <w:right w:val="none" w:sz="0" w:space="0" w:color="auto"/>
      </w:divBdr>
    </w:div>
    <w:div w:id="687297416">
      <w:bodyDiv w:val="1"/>
      <w:marLeft w:val="0"/>
      <w:marRight w:val="0"/>
      <w:marTop w:val="0"/>
      <w:marBottom w:val="0"/>
      <w:divBdr>
        <w:top w:val="none" w:sz="0" w:space="0" w:color="auto"/>
        <w:left w:val="none" w:sz="0" w:space="0" w:color="auto"/>
        <w:bottom w:val="none" w:sz="0" w:space="0" w:color="auto"/>
        <w:right w:val="none" w:sz="0" w:space="0" w:color="auto"/>
      </w:divBdr>
    </w:div>
    <w:div w:id="703791200">
      <w:bodyDiv w:val="1"/>
      <w:marLeft w:val="0"/>
      <w:marRight w:val="0"/>
      <w:marTop w:val="0"/>
      <w:marBottom w:val="0"/>
      <w:divBdr>
        <w:top w:val="none" w:sz="0" w:space="0" w:color="auto"/>
        <w:left w:val="none" w:sz="0" w:space="0" w:color="auto"/>
        <w:bottom w:val="none" w:sz="0" w:space="0" w:color="auto"/>
        <w:right w:val="none" w:sz="0" w:space="0" w:color="auto"/>
      </w:divBdr>
    </w:div>
    <w:div w:id="749354705">
      <w:bodyDiv w:val="1"/>
      <w:marLeft w:val="0"/>
      <w:marRight w:val="0"/>
      <w:marTop w:val="0"/>
      <w:marBottom w:val="0"/>
      <w:divBdr>
        <w:top w:val="none" w:sz="0" w:space="0" w:color="auto"/>
        <w:left w:val="none" w:sz="0" w:space="0" w:color="auto"/>
        <w:bottom w:val="none" w:sz="0" w:space="0" w:color="auto"/>
        <w:right w:val="none" w:sz="0" w:space="0" w:color="auto"/>
      </w:divBdr>
    </w:div>
    <w:div w:id="879319924">
      <w:bodyDiv w:val="1"/>
      <w:marLeft w:val="0"/>
      <w:marRight w:val="0"/>
      <w:marTop w:val="0"/>
      <w:marBottom w:val="0"/>
      <w:divBdr>
        <w:top w:val="none" w:sz="0" w:space="0" w:color="auto"/>
        <w:left w:val="none" w:sz="0" w:space="0" w:color="auto"/>
        <w:bottom w:val="none" w:sz="0" w:space="0" w:color="auto"/>
        <w:right w:val="none" w:sz="0" w:space="0" w:color="auto"/>
      </w:divBdr>
    </w:div>
    <w:div w:id="908543905">
      <w:bodyDiv w:val="1"/>
      <w:marLeft w:val="0"/>
      <w:marRight w:val="0"/>
      <w:marTop w:val="0"/>
      <w:marBottom w:val="0"/>
      <w:divBdr>
        <w:top w:val="none" w:sz="0" w:space="0" w:color="auto"/>
        <w:left w:val="none" w:sz="0" w:space="0" w:color="auto"/>
        <w:bottom w:val="none" w:sz="0" w:space="0" w:color="auto"/>
        <w:right w:val="none" w:sz="0" w:space="0" w:color="auto"/>
      </w:divBdr>
    </w:div>
    <w:div w:id="927009259">
      <w:bodyDiv w:val="1"/>
      <w:marLeft w:val="0"/>
      <w:marRight w:val="0"/>
      <w:marTop w:val="0"/>
      <w:marBottom w:val="0"/>
      <w:divBdr>
        <w:top w:val="none" w:sz="0" w:space="0" w:color="auto"/>
        <w:left w:val="none" w:sz="0" w:space="0" w:color="auto"/>
        <w:bottom w:val="none" w:sz="0" w:space="0" w:color="auto"/>
        <w:right w:val="none" w:sz="0" w:space="0" w:color="auto"/>
      </w:divBdr>
    </w:div>
    <w:div w:id="1038512715">
      <w:bodyDiv w:val="1"/>
      <w:marLeft w:val="0"/>
      <w:marRight w:val="0"/>
      <w:marTop w:val="0"/>
      <w:marBottom w:val="0"/>
      <w:divBdr>
        <w:top w:val="none" w:sz="0" w:space="0" w:color="auto"/>
        <w:left w:val="none" w:sz="0" w:space="0" w:color="auto"/>
        <w:bottom w:val="none" w:sz="0" w:space="0" w:color="auto"/>
        <w:right w:val="none" w:sz="0" w:space="0" w:color="auto"/>
      </w:divBdr>
    </w:div>
    <w:div w:id="1043864563">
      <w:bodyDiv w:val="1"/>
      <w:marLeft w:val="0"/>
      <w:marRight w:val="0"/>
      <w:marTop w:val="0"/>
      <w:marBottom w:val="0"/>
      <w:divBdr>
        <w:top w:val="none" w:sz="0" w:space="0" w:color="auto"/>
        <w:left w:val="none" w:sz="0" w:space="0" w:color="auto"/>
        <w:bottom w:val="none" w:sz="0" w:space="0" w:color="auto"/>
        <w:right w:val="none" w:sz="0" w:space="0" w:color="auto"/>
      </w:divBdr>
    </w:div>
    <w:div w:id="1089233123">
      <w:bodyDiv w:val="1"/>
      <w:marLeft w:val="0"/>
      <w:marRight w:val="0"/>
      <w:marTop w:val="0"/>
      <w:marBottom w:val="0"/>
      <w:divBdr>
        <w:top w:val="none" w:sz="0" w:space="0" w:color="auto"/>
        <w:left w:val="none" w:sz="0" w:space="0" w:color="auto"/>
        <w:bottom w:val="none" w:sz="0" w:space="0" w:color="auto"/>
        <w:right w:val="none" w:sz="0" w:space="0" w:color="auto"/>
      </w:divBdr>
    </w:div>
    <w:div w:id="1216434294">
      <w:bodyDiv w:val="1"/>
      <w:marLeft w:val="0"/>
      <w:marRight w:val="0"/>
      <w:marTop w:val="0"/>
      <w:marBottom w:val="0"/>
      <w:divBdr>
        <w:top w:val="none" w:sz="0" w:space="0" w:color="auto"/>
        <w:left w:val="none" w:sz="0" w:space="0" w:color="auto"/>
        <w:bottom w:val="none" w:sz="0" w:space="0" w:color="auto"/>
        <w:right w:val="none" w:sz="0" w:space="0" w:color="auto"/>
      </w:divBdr>
    </w:div>
    <w:div w:id="1279142567">
      <w:bodyDiv w:val="1"/>
      <w:marLeft w:val="0"/>
      <w:marRight w:val="0"/>
      <w:marTop w:val="0"/>
      <w:marBottom w:val="0"/>
      <w:divBdr>
        <w:top w:val="none" w:sz="0" w:space="0" w:color="auto"/>
        <w:left w:val="none" w:sz="0" w:space="0" w:color="auto"/>
        <w:bottom w:val="none" w:sz="0" w:space="0" w:color="auto"/>
        <w:right w:val="none" w:sz="0" w:space="0" w:color="auto"/>
      </w:divBdr>
    </w:div>
    <w:div w:id="1403406404">
      <w:bodyDiv w:val="1"/>
      <w:marLeft w:val="0"/>
      <w:marRight w:val="0"/>
      <w:marTop w:val="0"/>
      <w:marBottom w:val="0"/>
      <w:divBdr>
        <w:top w:val="none" w:sz="0" w:space="0" w:color="auto"/>
        <w:left w:val="none" w:sz="0" w:space="0" w:color="auto"/>
        <w:bottom w:val="none" w:sz="0" w:space="0" w:color="auto"/>
        <w:right w:val="none" w:sz="0" w:space="0" w:color="auto"/>
      </w:divBdr>
    </w:div>
    <w:div w:id="1447694182">
      <w:bodyDiv w:val="1"/>
      <w:marLeft w:val="0"/>
      <w:marRight w:val="0"/>
      <w:marTop w:val="0"/>
      <w:marBottom w:val="0"/>
      <w:divBdr>
        <w:top w:val="none" w:sz="0" w:space="0" w:color="auto"/>
        <w:left w:val="none" w:sz="0" w:space="0" w:color="auto"/>
        <w:bottom w:val="none" w:sz="0" w:space="0" w:color="auto"/>
        <w:right w:val="none" w:sz="0" w:space="0" w:color="auto"/>
      </w:divBdr>
    </w:div>
    <w:div w:id="1469319738">
      <w:bodyDiv w:val="1"/>
      <w:marLeft w:val="0"/>
      <w:marRight w:val="0"/>
      <w:marTop w:val="0"/>
      <w:marBottom w:val="0"/>
      <w:divBdr>
        <w:top w:val="none" w:sz="0" w:space="0" w:color="auto"/>
        <w:left w:val="none" w:sz="0" w:space="0" w:color="auto"/>
        <w:bottom w:val="none" w:sz="0" w:space="0" w:color="auto"/>
        <w:right w:val="none" w:sz="0" w:space="0" w:color="auto"/>
      </w:divBdr>
    </w:div>
    <w:div w:id="1469662065">
      <w:bodyDiv w:val="1"/>
      <w:marLeft w:val="0"/>
      <w:marRight w:val="0"/>
      <w:marTop w:val="0"/>
      <w:marBottom w:val="0"/>
      <w:divBdr>
        <w:top w:val="none" w:sz="0" w:space="0" w:color="auto"/>
        <w:left w:val="none" w:sz="0" w:space="0" w:color="auto"/>
        <w:bottom w:val="none" w:sz="0" w:space="0" w:color="auto"/>
        <w:right w:val="none" w:sz="0" w:space="0" w:color="auto"/>
      </w:divBdr>
    </w:div>
    <w:div w:id="1471508967">
      <w:bodyDiv w:val="1"/>
      <w:marLeft w:val="0"/>
      <w:marRight w:val="0"/>
      <w:marTop w:val="0"/>
      <w:marBottom w:val="0"/>
      <w:divBdr>
        <w:top w:val="none" w:sz="0" w:space="0" w:color="auto"/>
        <w:left w:val="none" w:sz="0" w:space="0" w:color="auto"/>
        <w:bottom w:val="none" w:sz="0" w:space="0" w:color="auto"/>
        <w:right w:val="none" w:sz="0" w:space="0" w:color="auto"/>
      </w:divBdr>
    </w:div>
    <w:div w:id="1475565712">
      <w:bodyDiv w:val="1"/>
      <w:marLeft w:val="0"/>
      <w:marRight w:val="0"/>
      <w:marTop w:val="0"/>
      <w:marBottom w:val="0"/>
      <w:divBdr>
        <w:top w:val="none" w:sz="0" w:space="0" w:color="auto"/>
        <w:left w:val="none" w:sz="0" w:space="0" w:color="auto"/>
        <w:bottom w:val="none" w:sz="0" w:space="0" w:color="auto"/>
        <w:right w:val="none" w:sz="0" w:space="0" w:color="auto"/>
      </w:divBdr>
    </w:div>
    <w:div w:id="1551455309">
      <w:bodyDiv w:val="1"/>
      <w:marLeft w:val="0"/>
      <w:marRight w:val="0"/>
      <w:marTop w:val="0"/>
      <w:marBottom w:val="0"/>
      <w:divBdr>
        <w:top w:val="none" w:sz="0" w:space="0" w:color="auto"/>
        <w:left w:val="none" w:sz="0" w:space="0" w:color="auto"/>
        <w:bottom w:val="none" w:sz="0" w:space="0" w:color="auto"/>
        <w:right w:val="none" w:sz="0" w:space="0" w:color="auto"/>
      </w:divBdr>
    </w:div>
    <w:div w:id="1674724320">
      <w:bodyDiv w:val="1"/>
      <w:marLeft w:val="0"/>
      <w:marRight w:val="0"/>
      <w:marTop w:val="0"/>
      <w:marBottom w:val="0"/>
      <w:divBdr>
        <w:top w:val="none" w:sz="0" w:space="0" w:color="auto"/>
        <w:left w:val="none" w:sz="0" w:space="0" w:color="auto"/>
        <w:bottom w:val="none" w:sz="0" w:space="0" w:color="auto"/>
        <w:right w:val="none" w:sz="0" w:space="0" w:color="auto"/>
      </w:divBdr>
    </w:div>
    <w:div w:id="1744449459">
      <w:bodyDiv w:val="1"/>
      <w:marLeft w:val="0"/>
      <w:marRight w:val="0"/>
      <w:marTop w:val="0"/>
      <w:marBottom w:val="0"/>
      <w:divBdr>
        <w:top w:val="none" w:sz="0" w:space="0" w:color="auto"/>
        <w:left w:val="none" w:sz="0" w:space="0" w:color="auto"/>
        <w:bottom w:val="none" w:sz="0" w:space="0" w:color="auto"/>
        <w:right w:val="none" w:sz="0" w:space="0" w:color="auto"/>
      </w:divBdr>
    </w:div>
    <w:div w:id="1757748364">
      <w:bodyDiv w:val="1"/>
      <w:marLeft w:val="0"/>
      <w:marRight w:val="0"/>
      <w:marTop w:val="0"/>
      <w:marBottom w:val="0"/>
      <w:divBdr>
        <w:top w:val="none" w:sz="0" w:space="0" w:color="auto"/>
        <w:left w:val="none" w:sz="0" w:space="0" w:color="auto"/>
        <w:bottom w:val="none" w:sz="0" w:space="0" w:color="auto"/>
        <w:right w:val="none" w:sz="0" w:space="0" w:color="auto"/>
      </w:divBdr>
    </w:div>
    <w:div w:id="1761490825">
      <w:bodyDiv w:val="1"/>
      <w:marLeft w:val="0"/>
      <w:marRight w:val="0"/>
      <w:marTop w:val="0"/>
      <w:marBottom w:val="0"/>
      <w:divBdr>
        <w:top w:val="none" w:sz="0" w:space="0" w:color="auto"/>
        <w:left w:val="none" w:sz="0" w:space="0" w:color="auto"/>
        <w:bottom w:val="none" w:sz="0" w:space="0" w:color="auto"/>
        <w:right w:val="none" w:sz="0" w:space="0" w:color="auto"/>
      </w:divBdr>
    </w:div>
    <w:div w:id="1796634698">
      <w:bodyDiv w:val="1"/>
      <w:marLeft w:val="0"/>
      <w:marRight w:val="0"/>
      <w:marTop w:val="0"/>
      <w:marBottom w:val="0"/>
      <w:divBdr>
        <w:top w:val="none" w:sz="0" w:space="0" w:color="auto"/>
        <w:left w:val="none" w:sz="0" w:space="0" w:color="auto"/>
        <w:bottom w:val="none" w:sz="0" w:space="0" w:color="auto"/>
        <w:right w:val="none" w:sz="0" w:space="0" w:color="auto"/>
      </w:divBdr>
    </w:div>
    <w:div w:id="1824588961">
      <w:bodyDiv w:val="1"/>
      <w:marLeft w:val="0"/>
      <w:marRight w:val="0"/>
      <w:marTop w:val="0"/>
      <w:marBottom w:val="0"/>
      <w:divBdr>
        <w:top w:val="none" w:sz="0" w:space="0" w:color="auto"/>
        <w:left w:val="none" w:sz="0" w:space="0" w:color="auto"/>
        <w:bottom w:val="none" w:sz="0" w:space="0" w:color="auto"/>
        <w:right w:val="none" w:sz="0" w:space="0" w:color="auto"/>
      </w:divBdr>
    </w:div>
    <w:div w:id="1945726928">
      <w:bodyDiv w:val="1"/>
      <w:marLeft w:val="0"/>
      <w:marRight w:val="0"/>
      <w:marTop w:val="0"/>
      <w:marBottom w:val="0"/>
      <w:divBdr>
        <w:top w:val="none" w:sz="0" w:space="0" w:color="auto"/>
        <w:left w:val="none" w:sz="0" w:space="0" w:color="auto"/>
        <w:bottom w:val="none" w:sz="0" w:space="0" w:color="auto"/>
        <w:right w:val="none" w:sz="0" w:space="0" w:color="auto"/>
      </w:divBdr>
    </w:div>
    <w:div w:id="1962491380">
      <w:bodyDiv w:val="1"/>
      <w:marLeft w:val="0"/>
      <w:marRight w:val="0"/>
      <w:marTop w:val="0"/>
      <w:marBottom w:val="0"/>
      <w:divBdr>
        <w:top w:val="none" w:sz="0" w:space="0" w:color="auto"/>
        <w:left w:val="none" w:sz="0" w:space="0" w:color="auto"/>
        <w:bottom w:val="none" w:sz="0" w:space="0" w:color="auto"/>
        <w:right w:val="none" w:sz="0" w:space="0" w:color="auto"/>
      </w:divBdr>
    </w:div>
    <w:div w:id="1998990907">
      <w:bodyDiv w:val="1"/>
      <w:marLeft w:val="0"/>
      <w:marRight w:val="0"/>
      <w:marTop w:val="0"/>
      <w:marBottom w:val="0"/>
      <w:divBdr>
        <w:top w:val="none" w:sz="0" w:space="0" w:color="auto"/>
        <w:left w:val="none" w:sz="0" w:space="0" w:color="auto"/>
        <w:bottom w:val="none" w:sz="0" w:space="0" w:color="auto"/>
        <w:right w:val="none" w:sz="0" w:space="0" w:color="auto"/>
      </w:divBdr>
    </w:div>
    <w:div w:id="2014452152">
      <w:bodyDiv w:val="1"/>
      <w:marLeft w:val="0"/>
      <w:marRight w:val="0"/>
      <w:marTop w:val="0"/>
      <w:marBottom w:val="0"/>
      <w:divBdr>
        <w:top w:val="none" w:sz="0" w:space="0" w:color="auto"/>
        <w:left w:val="none" w:sz="0" w:space="0" w:color="auto"/>
        <w:bottom w:val="none" w:sz="0" w:space="0" w:color="auto"/>
        <w:right w:val="none" w:sz="0" w:space="0" w:color="auto"/>
      </w:divBdr>
    </w:div>
    <w:div w:id="213320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hhs.gov/about/leadership/ed-simcox/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153AE-E787-4F8C-BA4D-A660B07FD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1491</Words>
  <Characters>8501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2018-06-20T17:22:00Z</dcterms:created>
  <dcterms:modified xsi:type="dcterms:W3CDTF">2018-12-07T18:38:00Z</dcterms:modified>
</cp:coreProperties>
</file>